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57EE" w14:textId="77777777" w:rsidR="00B330F0" w:rsidRDefault="004E751A">
      <w:pPr>
        <w:spacing w:after="178" w:line="259" w:lineRule="auto"/>
        <w:ind w:left="-120" w:right="-840" w:firstLine="0"/>
        <w:jc w:val="left"/>
      </w:pPr>
      <w:r>
        <w:rPr>
          <w:rFonts w:ascii="Calibri" w:eastAsia="Calibri" w:hAnsi="Calibri" w:cs="Calibri"/>
          <w:noProof/>
          <w:sz w:val="22"/>
        </w:rPr>
        <mc:AlternateContent>
          <mc:Choice Requires="wpg">
            <w:drawing>
              <wp:inline distT="0" distB="0" distL="0" distR="0" wp14:anchorId="58DA6BCB" wp14:editId="4E6624A9">
                <wp:extent cx="6794500" cy="872109"/>
                <wp:effectExtent l="0" t="0" r="0" b="0"/>
                <wp:docPr id="6765" name="Group 6765"/>
                <wp:cNvGraphicFramePr/>
                <a:graphic xmlns:a="http://schemas.openxmlformats.org/drawingml/2006/main">
                  <a:graphicData uri="http://schemas.microsoft.com/office/word/2010/wordprocessingGroup">
                    <wpg:wgp>
                      <wpg:cNvGrpSpPr/>
                      <wpg:grpSpPr>
                        <a:xfrm>
                          <a:off x="0" y="0"/>
                          <a:ext cx="6794500" cy="872109"/>
                          <a:chOff x="0" y="0"/>
                          <a:chExt cx="6794500" cy="872109"/>
                        </a:xfrm>
                      </wpg:grpSpPr>
                      <wps:wsp>
                        <wps:cNvPr id="6" name="Rectangle 6"/>
                        <wps:cNvSpPr/>
                        <wps:spPr>
                          <a:xfrm>
                            <a:off x="6082792" y="754634"/>
                            <a:ext cx="845226" cy="156242"/>
                          </a:xfrm>
                          <a:prstGeom prst="rect">
                            <a:avLst/>
                          </a:prstGeom>
                          <a:ln>
                            <a:noFill/>
                          </a:ln>
                        </wps:spPr>
                        <wps:txbx>
                          <w:txbxContent>
                            <w:p w14:paraId="05760E9F" w14:textId="77777777" w:rsidR="00B330F0" w:rsidRDefault="004E751A">
                              <w:pPr>
                                <w:spacing w:after="160" w:line="259" w:lineRule="auto"/>
                                <w:ind w:left="0" w:right="0" w:firstLine="0"/>
                                <w:jc w:val="left"/>
                              </w:pPr>
                              <w:r>
                                <w:rPr>
                                  <w:rFonts w:ascii="Arial" w:eastAsia="Arial" w:hAnsi="Arial" w:cs="Arial"/>
                                  <w:sz w:val="20"/>
                                </w:rPr>
                                <w:t>06/04/2026</w:t>
                              </w:r>
                            </w:p>
                          </w:txbxContent>
                        </wps:txbx>
                        <wps:bodyPr horzOverflow="overflow" vert="horz" lIns="0" tIns="0" rIns="0" bIns="0" rtlCol="0">
                          <a:noAutofit/>
                        </wps:bodyPr>
                      </wps:wsp>
                      <pic:pic xmlns:pic="http://schemas.openxmlformats.org/drawingml/2006/picture">
                        <pic:nvPicPr>
                          <pic:cNvPr id="39" name="Picture 39"/>
                          <pic:cNvPicPr/>
                        </pic:nvPicPr>
                        <pic:blipFill>
                          <a:blip r:embed="rId7"/>
                          <a:stretch>
                            <a:fillRect/>
                          </a:stretch>
                        </pic:blipFill>
                        <pic:spPr>
                          <a:xfrm>
                            <a:off x="173736" y="0"/>
                            <a:ext cx="601980" cy="655320"/>
                          </a:xfrm>
                          <a:prstGeom prst="rect">
                            <a:avLst/>
                          </a:prstGeom>
                        </pic:spPr>
                      </pic:pic>
                      <wps:wsp>
                        <wps:cNvPr id="40" name="Rectangle 40"/>
                        <wps:cNvSpPr/>
                        <wps:spPr>
                          <a:xfrm>
                            <a:off x="898652" y="64796"/>
                            <a:ext cx="2695229" cy="171866"/>
                          </a:xfrm>
                          <a:prstGeom prst="rect">
                            <a:avLst/>
                          </a:prstGeom>
                          <a:ln>
                            <a:noFill/>
                          </a:ln>
                        </wps:spPr>
                        <wps:txbx>
                          <w:txbxContent>
                            <w:p w14:paraId="49A2455B" w14:textId="77777777" w:rsidR="00B330F0" w:rsidRDefault="004E751A">
                              <w:pPr>
                                <w:spacing w:after="160" w:line="259" w:lineRule="auto"/>
                                <w:ind w:left="0" w:right="0" w:firstLine="0"/>
                                <w:jc w:val="left"/>
                              </w:pPr>
                              <w:r>
                                <w:rPr>
                                  <w:rFonts w:ascii="Arial" w:eastAsia="Arial" w:hAnsi="Arial" w:cs="Arial"/>
                                  <w:sz w:val="22"/>
                                </w:rPr>
                                <w:t>Poder Judiciário de Pernambuco</w:t>
                              </w:r>
                            </w:p>
                          </w:txbxContent>
                        </wps:txbx>
                        <wps:bodyPr horzOverflow="overflow" vert="horz" lIns="0" tIns="0" rIns="0" bIns="0" rtlCol="0">
                          <a:noAutofit/>
                        </wps:bodyPr>
                      </wps:wsp>
                      <wps:wsp>
                        <wps:cNvPr id="41" name="Rectangle 41"/>
                        <wps:cNvSpPr/>
                        <wps:spPr>
                          <a:xfrm>
                            <a:off x="898652" y="204496"/>
                            <a:ext cx="2808568" cy="171866"/>
                          </a:xfrm>
                          <a:prstGeom prst="rect">
                            <a:avLst/>
                          </a:prstGeom>
                          <a:ln>
                            <a:noFill/>
                          </a:ln>
                        </wps:spPr>
                        <wps:txbx>
                          <w:txbxContent>
                            <w:p w14:paraId="798FADBC" w14:textId="77777777" w:rsidR="00B330F0" w:rsidRDefault="004E751A">
                              <w:pPr>
                                <w:spacing w:after="160" w:line="259" w:lineRule="auto"/>
                                <w:ind w:left="0" w:right="0" w:firstLine="0"/>
                                <w:jc w:val="left"/>
                              </w:pPr>
                              <w:r>
                                <w:rPr>
                                  <w:rFonts w:ascii="Arial" w:eastAsia="Arial" w:hAnsi="Arial" w:cs="Arial"/>
                                  <w:sz w:val="22"/>
                                </w:rPr>
                                <w:t>PJe - Processo Judicial Eletrônico</w:t>
                              </w:r>
                            </w:p>
                          </w:txbxContent>
                        </wps:txbx>
                        <wps:bodyPr horzOverflow="overflow" vert="horz" lIns="0" tIns="0" rIns="0" bIns="0" rtlCol="0">
                          <a:noAutofit/>
                        </wps:bodyPr>
                      </wps:wsp>
                      <wps:wsp>
                        <wps:cNvPr id="42" name="Shape 42"/>
                        <wps:cNvSpPr/>
                        <wps:spPr>
                          <a:xfrm>
                            <a:off x="0" y="693420"/>
                            <a:ext cx="6794500" cy="0"/>
                          </a:xfrm>
                          <a:custGeom>
                            <a:avLst/>
                            <a:gdLst/>
                            <a:ahLst/>
                            <a:cxnLst/>
                            <a:rect l="0" t="0" r="0" b="0"/>
                            <a:pathLst>
                              <a:path w="6794500">
                                <a:moveTo>
                                  <a:pt x="6794500"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65" style="width:535pt;height:68.67pt;mso-position-horizontal-relative:char;mso-position-vertical-relative:line" coordsize="67945,8721">
                <v:rect id="Rectangle 6" style="position:absolute;width:8452;height:1562;left:60827;top:7546;" filled="f" stroked="f">
                  <v:textbox inset="0,0,0,0">
                    <w:txbxContent>
                      <w:p>
                        <w:pPr>
                          <w:spacing w:before="0" w:after="160" w:line="259" w:lineRule="auto"/>
                          <w:ind w:left="0" w:right="0" w:firstLine="0"/>
                          <w:jc w:val="left"/>
                        </w:pPr>
                        <w:r>
                          <w:rPr>
                            <w:rFonts w:cs="Arial" w:hAnsi="Arial" w:eastAsia="Arial" w:ascii="Arial"/>
                            <w:sz w:val="20"/>
                          </w:rPr>
                          <w:t xml:space="preserve">06/04/2026</w:t>
                        </w:r>
                      </w:p>
                    </w:txbxContent>
                  </v:textbox>
                </v:rect>
                <v:shape id="Picture 39" style="position:absolute;width:6019;height:6553;left:1737;top:0;" filled="f">
                  <v:imagedata r:id="rId8"/>
                </v:shape>
                <v:rect id="Rectangle 40" style="position:absolute;width:26952;height:1718;left:8986;top:647;" filled="f" stroked="f">
                  <v:textbox inset="0,0,0,0">
                    <w:txbxContent>
                      <w:p>
                        <w:pPr>
                          <w:spacing w:before="0" w:after="160" w:line="259" w:lineRule="auto"/>
                          <w:ind w:left="0" w:right="0" w:firstLine="0"/>
                          <w:jc w:val="left"/>
                        </w:pPr>
                        <w:r>
                          <w:rPr>
                            <w:rFonts w:cs="Arial" w:hAnsi="Arial" w:eastAsia="Arial" w:ascii="Arial"/>
                            <w:sz w:val="22"/>
                          </w:rPr>
                          <w:t xml:space="preserve">Poder Judiciário de Pernambuco</w:t>
                        </w:r>
                      </w:p>
                    </w:txbxContent>
                  </v:textbox>
                </v:rect>
                <v:rect id="Rectangle 41" style="position:absolute;width:28085;height:1718;left:8986;top:2044;" filled="f" stroked="f">
                  <v:textbox inset="0,0,0,0">
                    <w:txbxContent>
                      <w:p>
                        <w:pPr>
                          <w:spacing w:before="0" w:after="160" w:line="259" w:lineRule="auto"/>
                          <w:ind w:left="0" w:right="0" w:firstLine="0"/>
                          <w:jc w:val="left"/>
                        </w:pPr>
                        <w:r>
                          <w:rPr>
                            <w:rFonts w:cs="Arial" w:hAnsi="Arial" w:eastAsia="Arial" w:ascii="Arial"/>
                            <w:sz w:val="22"/>
                          </w:rPr>
                          <w:t xml:space="preserve">PJe - Processo Judicial Eletrônico</w:t>
                        </w:r>
                      </w:p>
                    </w:txbxContent>
                  </v:textbox>
                </v:rect>
                <v:shape id="Shape 42" style="position:absolute;width:67945;height:0;left:0;top:6934;" coordsize="6794500,0" path="m6794500,0l0,0">
                  <v:stroke weight="1pt" endcap="flat" joinstyle="miter" miterlimit="10" on="true" color="#000000"/>
                  <v:fill on="false" color="#000000" opacity="0"/>
                </v:shape>
              </v:group>
            </w:pict>
          </mc:Fallback>
        </mc:AlternateContent>
      </w:r>
    </w:p>
    <w:p w14:paraId="5DC111D0" w14:textId="77777777" w:rsidR="00B330F0" w:rsidRDefault="004E751A">
      <w:pPr>
        <w:tabs>
          <w:tab w:val="center" w:pos="2910"/>
        </w:tabs>
        <w:spacing w:after="0" w:line="259" w:lineRule="auto"/>
        <w:ind w:left="0" w:right="0" w:firstLine="0"/>
        <w:jc w:val="left"/>
      </w:pPr>
      <w:r>
        <w:rPr>
          <w:rFonts w:ascii="Arial" w:eastAsia="Arial" w:hAnsi="Arial" w:cs="Arial"/>
          <w:sz w:val="28"/>
        </w:rPr>
        <w:t xml:space="preserve">Número:  </w:t>
      </w:r>
      <w:r>
        <w:rPr>
          <w:rFonts w:ascii="Arial" w:eastAsia="Arial" w:hAnsi="Arial" w:cs="Arial"/>
          <w:sz w:val="28"/>
        </w:rPr>
        <w:tab/>
      </w:r>
      <w:r>
        <w:rPr>
          <w:rFonts w:ascii="Arial" w:eastAsia="Arial" w:hAnsi="Arial" w:cs="Arial"/>
          <w:b/>
          <w:sz w:val="28"/>
        </w:rPr>
        <w:t>0004479-51.2025.8.17.2640</w:t>
      </w:r>
    </w:p>
    <w:p w14:paraId="52D535EC" w14:textId="77777777" w:rsidR="00B330F0" w:rsidRDefault="004E751A">
      <w:pPr>
        <w:spacing w:after="171" w:line="259" w:lineRule="auto"/>
        <w:ind w:left="0" w:right="0" w:firstLine="0"/>
        <w:jc w:val="left"/>
      </w:pPr>
      <w:r>
        <w:rPr>
          <w:rFonts w:ascii="Arial" w:eastAsia="Arial" w:hAnsi="Arial" w:cs="Arial"/>
          <w:sz w:val="12"/>
        </w:rPr>
        <w:t xml:space="preserve"> </w:t>
      </w:r>
    </w:p>
    <w:p w14:paraId="58828503" w14:textId="77777777" w:rsidR="00B330F0" w:rsidRDefault="004E751A">
      <w:pPr>
        <w:spacing w:after="47" w:line="259" w:lineRule="auto"/>
        <w:ind w:left="-5" w:right="0"/>
        <w:jc w:val="left"/>
      </w:pPr>
      <w:r>
        <w:rPr>
          <w:rFonts w:ascii="Arial" w:eastAsia="Arial" w:hAnsi="Arial" w:cs="Arial"/>
          <w:sz w:val="22"/>
        </w:rPr>
        <w:t xml:space="preserve">Classe: </w:t>
      </w:r>
      <w:r>
        <w:rPr>
          <w:rFonts w:ascii="Arial" w:eastAsia="Arial" w:hAnsi="Arial" w:cs="Arial"/>
          <w:b/>
          <w:sz w:val="22"/>
        </w:rPr>
        <w:t>Procedimento Comum Cível</w:t>
      </w:r>
      <w:r>
        <w:rPr>
          <w:rFonts w:ascii="Arial" w:eastAsia="Arial" w:hAnsi="Arial" w:cs="Arial"/>
          <w:sz w:val="22"/>
        </w:rPr>
        <w:t xml:space="preserve"> </w:t>
      </w:r>
    </w:p>
    <w:p w14:paraId="22359B9C" w14:textId="77777777" w:rsidR="00B330F0" w:rsidRDefault="004E751A">
      <w:pPr>
        <w:spacing w:after="47" w:line="259" w:lineRule="auto"/>
        <w:ind w:left="-5" w:right="0"/>
        <w:jc w:val="left"/>
      </w:pPr>
      <w:r>
        <w:rPr>
          <w:rFonts w:ascii="Arial" w:eastAsia="Arial" w:hAnsi="Arial" w:cs="Arial"/>
          <w:sz w:val="22"/>
        </w:rPr>
        <w:t xml:space="preserve"> Órgão julgador: </w:t>
      </w:r>
      <w:r>
        <w:rPr>
          <w:rFonts w:ascii="Arial" w:eastAsia="Arial" w:hAnsi="Arial" w:cs="Arial"/>
          <w:b/>
          <w:sz w:val="22"/>
        </w:rPr>
        <w:t>Vara da Fazenda Pública da Comarca de Garanhuns</w:t>
      </w:r>
      <w:r>
        <w:rPr>
          <w:rFonts w:ascii="Arial" w:eastAsia="Arial" w:hAnsi="Arial" w:cs="Arial"/>
          <w:sz w:val="22"/>
        </w:rPr>
        <w:t xml:space="preserve"> </w:t>
      </w:r>
    </w:p>
    <w:p w14:paraId="7D9F6923" w14:textId="77777777" w:rsidR="00B330F0" w:rsidRDefault="004E751A">
      <w:pPr>
        <w:spacing w:after="47" w:line="259" w:lineRule="auto"/>
        <w:ind w:left="-5" w:right="0"/>
        <w:jc w:val="left"/>
      </w:pPr>
      <w:r>
        <w:rPr>
          <w:rFonts w:ascii="Arial" w:eastAsia="Arial" w:hAnsi="Arial" w:cs="Arial"/>
          <w:sz w:val="22"/>
        </w:rPr>
        <w:t xml:space="preserve"> Última distribuição : </w:t>
      </w:r>
      <w:r>
        <w:rPr>
          <w:rFonts w:ascii="Arial" w:eastAsia="Arial" w:hAnsi="Arial" w:cs="Arial"/>
          <w:b/>
          <w:sz w:val="22"/>
        </w:rPr>
        <w:t>03/07/2025</w:t>
      </w:r>
      <w:r>
        <w:rPr>
          <w:rFonts w:ascii="Arial" w:eastAsia="Arial" w:hAnsi="Arial" w:cs="Arial"/>
          <w:sz w:val="22"/>
        </w:rPr>
        <w:t xml:space="preserve"> </w:t>
      </w:r>
    </w:p>
    <w:p w14:paraId="67917021" w14:textId="77777777" w:rsidR="00B330F0" w:rsidRDefault="004E751A">
      <w:pPr>
        <w:spacing w:after="47" w:line="259" w:lineRule="auto"/>
        <w:ind w:left="-5" w:right="0"/>
        <w:jc w:val="left"/>
      </w:pPr>
      <w:r>
        <w:rPr>
          <w:rFonts w:ascii="Arial" w:eastAsia="Arial" w:hAnsi="Arial" w:cs="Arial"/>
          <w:sz w:val="22"/>
        </w:rPr>
        <w:t xml:space="preserve"> Valor da causa: </w:t>
      </w:r>
      <w:r>
        <w:rPr>
          <w:rFonts w:ascii="Arial" w:eastAsia="Arial" w:hAnsi="Arial" w:cs="Arial"/>
          <w:b/>
          <w:sz w:val="22"/>
        </w:rPr>
        <w:t>R$ 1.000,00</w:t>
      </w:r>
      <w:r>
        <w:rPr>
          <w:rFonts w:ascii="Arial" w:eastAsia="Arial" w:hAnsi="Arial" w:cs="Arial"/>
          <w:sz w:val="22"/>
        </w:rPr>
        <w:t xml:space="preserve"> </w:t>
      </w:r>
    </w:p>
    <w:p w14:paraId="51878AF6" w14:textId="77777777" w:rsidR="00B330F0" w:rsidRDefault="004E751A">
      <w:pPr>
        <w:spacing w:after="47" w:line="259" w:lineRule="auto"/>
        <w:ind w:left="-5" w:right="0"/>
        <w:jc w:val="left"/>
      </w:pPr>
      <w:r>
        <w:rPr>
          <w:rFonts w:ascii="Arial" w:eastAsia="Arial" w:hAnsi="Arial" w:cs="Arial"/>
          <w:sz w:val="22"/>
        </w:rPr>
        <w:t xml:space="preserve"> Assuntos: </w:t>
      </w:r>
      <w:r>
        <w:rPr>
          <w:rFonts w:ascii="Arial" w:eastAsia="Arial" w:hAnsi="Arial" w:cs="Arial"/>
          <w:b/>
          <w:sz w:val="22"/>
        </w:rPr>
        <w:t>Direito Autoral</w:t>
      </w:r>
      <w:r>
        <w:rPr>
          <w:rFonts w:ascii="Arial" w:eastAsia="Arial" w:hAnsi="Arial" w:cs="Arial"/>
          <w:sz w:val="22"/>
        </w:rPr>
        <w:t xml:space="preserve"> </w:t>
      </w:r>
    </w:p>
    <w:p w14:paraId="57EAEB90" w14:textId="77777777" w:rsidR="00B330F0" w:rsidRDefault="004E751A">
      <w:pPr>
        <w:spacing w:after="47" w:line="259" w:lineRule="auto"/>
        <w:ind w:left="-5" w:right="0"/>
        <w:jc w:val="left"/>
      </w:pPr>
      <w:r>
        <w:rPr>
          <w:rFonts w:ascii="Arial" w:eastAsia="Arial" w:hAnsi="Arial" w:cs="Arial"/>
          <w:sz w:val="22"/>
        </w:rPr>
        <w:t xml:space="preserve"> Nível de Sigilo: </w:t>
      </w:r>
      <w:r>
        <w:rPr>
          <w:rFonts w:ascii="Arial" w:eastAsia="Arial" w:hAnsi="Arial" w:cs="Arial"/>
          <w:b/>
          <w:sz w:val="22"/>
        </w:rPr>
        <w:t>0 (Público)</w:t>
      </w:r>
      <w:r>
        <w:rPr>
          <w:rFonts w:ascii="Arial" w:eastAsia="Arial" w:hAnsi="Arial" w:cs="Arial"/>
          <w:sz w:val="22"/>
        </w:rPr>
        <w:t xml:space="preserve"> </w:t>
      </w:r>
    </w:p>
    <w:p w14:paraId="6A5BD83D" w14:textId="77777777" w:rsidR="00B330F0" w:rsidRDefault="004E751A">
      <w:pPr>
        <w:spacing w:after="47" w:line="259" w:lineRule="auto"/>
        <w:ind w:left="-5" w:right="0"/>
        <w:jc w:val="left"/>
      </w:pPr>
      <w:r>
        <w:rPr>
          <w:rFonts w:ascii="Arial" w:eastAsia="Arial" w:hAnsi="Arial" w:cs="Arial"/>
          <w:sz w:val="22"/>
        </w:rPr>
        <w:t xml:space="preserve"> Justiça gratuita? </w:t>
      </w:r>
      <w:r>
        <w:rPr>
          <w:rFonts w:ascii="Arial" w:eastAsia="Arial" w:hAnsi="Arial" w:cs="Arial"/>
          <w:b/>
          <w:sz w:val="22"/>
        </w:rPr>
        <w:t>NÃO</w:t>
      </w:r>
      <w:r>
        <w:rPr>
          <w:rFonts w:ascii="Arial" w:eastAsia="Arial" w:hAnsi="Arial" w:cs="Arial"/>
          <w:sz w:val="22"/>
        </w:rPr>
        <w:t xml:space="preserve"> </w:t>
      </w:r>
    </w:p>
    <w:p w14:paraId="60838FB3" w14:textId="77777777" w:rsidR="00B330F0" w:rsidRDefault="004E751A">
      <w:pPr>
        <w:spacing w:after="0" w:line="259" w:lineRule="auto"/>
        <w:ind w:left="-5" w:right="0"/>
        <w:jc w:val="left"/>
      </w:pPr>
      <w:r>
        <w:rPr>
          <w:rFonts w:ascii="Arial" w:eastAsia="Arial" w:hAnsi="Arial" w:cs="Arial"/>
          <w:sz w:val="22"/>
        </w:rPr>
        <w:t xml:space="preserve"> Pedido de liminar ou antecipação de tutela? </w:t>
      </w:r>
      <w:r>
        <w:rPr>
          <w:rFonts w:ascii="Arial" w:eastAsia="Arial" w:hAnsi="Arial" w:cs="Arial"/>
          <w:b/>
          <w:sz w:val="22"/>
        </w:rPr>
        <w:t>NÃO</w:t>
      </w:r>
    </w:p>
    <w:p w14:paraId="322CA350" w14:textId="77777777" w:rsidR="00B330F0" w:rsidRDefault="004E751A">
      <w:pPr>
        <w:spacing w:after="0" w:line="259" w:lineRule="auto"/>
        <w:ind w:left="0" w:right="0" w:firstLine="0"/>
        <w:jc w:val="left"/>
      </w:pPr>
      <w:r>
        <w:rPr>
          <w:rFonts w:ascii="Arial" w:eastAsia="Arial" w:hAnsi="Arial" w:cs="Arial"/>
          <w:sz w:val="12"/>
        </w:rPr>
        <w:t xml:space="preserve"> </w:t>
      </w:r>
    </w:p>
    <w:tbl>
      <w:tblPr>
        <w:tblStyle w:val="TableGrid"/>
        <w:tblW w:w="10460" w:type="dxa"/>
        <w:tblInd w:w="0" w:type="dxa"/>
        <w:tblCellMar>
          <w:top w:w="91" w:type="dxa"/>
          <w:left w:w="40" w:type="dxa"/>
          <w:bottom w:w="3" w:type="dxa"/>
          <w:right w:w="115" w:type="dxa"/>
        </w:tblCellMar>
        <w:tblLook w:val="04A0" w:firstRow="1" w:lastRow="0" w:firstColumn="1" w:lastColumn="0" w:noHBand="0" w:noVBand="1"/>
      </w:tblPr>
      <w:tblGrid>
        <w:gridCol w:w="5230"/>
        <w:gridCol w:w="5230"/>
      </w:tblGrid>
      <w:tr w:rsidR="00B330F0" w14:paraId="71A23456" w14:textId="77777777">
        <w:trPr>
          <w:trHeight w:val="300"/>
        </w:trPr>
        <w:tc>
          <w:tcPr>
            <w:tcW w:w="5230" w:type="dxa"/>
            <w:tcBorders>
              <w:top w:val="single" w:sz="4" w:space="0" w:color="000000"/>
              <w:left w:val="single" w:sz="4" w:space="0" w:color="000000"/>
              <w:bottom w:val="single" w:sz="4" w:space="0" w:color="000000"/>
              <w:right w:val="single" w:sz="4" w:space="0" w:color="000000"/>
            </w:tcBorders>
            <w:shd w:val="clear" w:color="auto" w:fill="DCDCDC"/>
          </w:tcPr>
          <w:p w14:paraId="7582135E" w14:textId="77777777" w:rsidR="00B330F0" w:rsidRDefault="004E751A">
            <w:pPr>
              <w:spacing w:after="0" w:line="259" w:lineRule="auto"/>
              <w:ind w:left="75" w:right="0" w:firstLine="0"/>
              <w:jc w:val="center"/>
            </w:pPr>
            <w:r>
              <w:rPr>
                <w:rFonts w:ascii="Arial" w:eastAsia="Arial" w:hAnsi="Arial" w:cs="Arial"/>
                <w:b/>
                <w:sz w:val="18"/>
              </w:rPr>
              <w:t>Partes</w:t>
            </w:r>
          </w:p>
        </w:tc>
        <w:tc>
          <w:tcPr>
            <w:tcW w:w="5230" w:type="dxa"/>
            <w:tcBorders>
              <w:top w:val="single" w:sz="4" w:space="0" w:color="000000"/>
              <w:left w:val="single" w:sz="4" w:space="0" w:color="000000"/>
              <w:bottom w:val="single" w:sz="4" w:space="0" w:color="000000"/>
              <w:right w:val="single" w:sz="4" w:space="0" w:color="000000"/>
            </w:tcBorders>
            <w:shd w:val="clear" w:color="auto" w:fill="DCDCDC"/>
          </w:tcPr>
          <w:p w14:paraId="1A2DFF27" w14:textId="77777777" w:rsidR="00B330F0" w:rsidRDefault="004E751A">
            <w:pPr>
              <w:spacing w:after="0" w:line="259" w:lineRule="auto"/>
              <w:ind w:left="75" w:right="0" w:firstLine="0"/>
              <w:jc w:val="center"/>
            </w:pPr>
            <w:r>
              <w:rPr>
                <w:rFonts w:ascii="Arial" w:eastAsia="Arial" w:hAnsi="Arial" w:cs="Arial"/>
                <w:b/>
                <w:sz w:val="18"/>
              </w:rPr>
              <w:t>Advogados</w:t>
            </w:r>
          </w:p>
        </w:tc>
      </w:tr>
      <w:tr w:rsidR="00B330F0" w14:paraId="3D639652" w14:textId="77777777">
        <w:trPr>
          <w:trHeight w:val="580"/>
        </w:trPr>
        <w:tc>
          <w:tcPr>
            <w:tcW w:w="5230" w:type="dxa"/>
            <w:tcBorders>
              <w:top w:val="single" w:sz="4" w:space="0" w:color="000000"/>
              <w:left w:val="single" w:sz="4" w:space="0" w:color="000000"/>
              <w:bottom w:val="single" w:sz="4" w:space="0" w:color="000000"/>
              <w:right w:val="single" w:sz="4" w:space="0" w:color="000000"/>
            </w:tcBorders>
            <w:vAlign w:val="bottom"/>
          </w:tcPr>
          <w:p w14:paraId="76BEB7C8" w14:textId="77777777" w:rsidR="00B330F0" w:rsidRDefault="004E751A">
            <w:pPr>
              <w:spacing w:after="46" w:line="259" w:lineRule="auto"/>
              <w:ind w:left="0" w:right="0" w:firstLine="0"/>
              <w:jc w:val="left"/>
            </w:pPr>
            <w:r>
              <w:rPr>
                <w:rFonts w:ascii="Arial" w:eastAsia="Arial" w:hAnsi="Arial" w:cs="Arial"/>
                <w:b/>
                <w:sz w:val="18"/>
              </w:rPr>
              <w:t>ESCRITORIO CENTRAL DE ARRECADACAO E</w:t>
            </w:r>
          </w:p>
          <w:p w14:paraId="0D9D6D1E" w14:textId="77777777" w:rsidR="00B330F0" w:rsidRDefault="004E751A">
            <w:pPr>
              <w:spacing w:after="0" w:line="259" w:lineRule="auto"/>
              <w:ind w:left="0" w:right="0" w:firstLine="0"/>
              <w:jc w:val="left"/>
            </w:pPr>
            <w:r>
              <w:rPr>
                <w:rFonts w:ascii="Arial" w:eastAsia="Arial" w:hAnsi="Arial" w:cs="Arial"/>
                <w:b/>
                <w:sz w:val="18"/>
              </w:rPr>
              <w:t>DISTRIBUICAO ECAD (AUTOR(A))</w:t>
            </w:r>
          </w:p>
        </w:tc>
        <w:tc>
          <w:tcPr>
            <w:tcW w:w="5230" w:type="dxa"/>
            <w:tcBorders>
              <w:top w:val="single" w:sz="4" w:space="0" w:color="000000"/>
              <w:left w:val="single" w:sz="4" w:space="0" w:color="000000"/>
              <w:bottom w:val="single" w:sz="4" w:space="0" w:color="000000"/>
              <w:right w:val="single" w:sz="4" w:space="0" w:color="000000"/>
            </w:tcBorders>
          </w:tcPr>
          <w:p w14:paraId="6B6FDC4E" w14:textId="77777777" w:rsidR="00B330F0" w:rsidRDefault="00B330F0">
            <w:pPr>
              <w:spacing w:after="160" w:line="259" w:lineRule="auto"/>
              <w:ind w:left="0" w:right="0" w:firstLine="0"/>
              <w:jc w:val="left"/>
            </w:pPr>
          </w:p>
        </w:tc>
      </w:tr>
      <w:tr w:rsidR="00B330F0" w14:paraId="72BCCDBC" w14:textId="77777777">
        <w:trPr>
          <w:trHeight w:val="580"/>
        </w:trPr>
        <w:tc>
          <w:tcPr>
            <w:tcW w:w="5230" w:type="dxa"/>
            <w:tcBorders>
              <w:top w:val="single" w:sz="4" w:space="0" w:color="000000"/>
              <w:left w:val="single" w:sz="4" w:space="0" w:color="000000"/>
              <w:bottom w:val="single" w:sz="4" w:space="0" w:color="000000"/>
              <w:right w:val="single" w:sz="4" w:space="0" w:color="000000"/>
            </w:tcBorders>
          </w:tcPr>
          <w:p w14:paraId="308A968A" w14:textId="77777777" w:rsidR="00B330F0" w:rsidRDefault="00B330F0">
            <w:pPr>
              <w:spacing w:after="160" w:line="259" w:lineRule="auto"/>
              <w:ind w:left="0" w:right="0" w:firstLine="0"/>
              <w:jc w:val="left"/>
            </w:pPr>
          </w:p>
        </w:tc>
        <w:tc>
          <w:tcPr>
            <w:tcW w:w="5230" w:type="dxa"/>
            <w:tcBorders>
              <w:top w:val="single" w:sz="4" w:space="0" w:color="000000"/>
              <w:left w:val="single" w:sz="4" w:space="0" w:color="000000"/>
              <w:bottom w:val="single" w:sz="4" w:space="0" w:color="000000"/>
              <w:right w:val="single" w:sz="4" w:space="0" w:color="000000"/>
            </w:tcBorders>
            <w:vAlign w:val="bottom"/>
          </w:tcPr>
          <w:p w14:paraId="4FBE024D" w14:textId="77777777" w:rsidR="00B330F0" w:rsidRDefault="004E751A">
            <w:pPr>
              <w:spacing w:after="46" w:line="259" w:lineRule="auto"/>
              <w:ind w:left="0" w:right="0" w:firstLine="0"/>
              <w:jc w:val="left"/>
            </w:pPr>
            <w:r>
              <w:rPr>
                <w:rFonts w:ascii="Arial" w:eastAsia="Arial" w:hAnsi="Arial" w:cs="Arial"/>
                <w:b/>
                <w:sz w:val="18"/>
              </w:rPr>
              <w:t>RICARDO JOSE UCHOA CAVALCANTI FILHO</w:t>
            </w:r>
          </w:p>
          <w:p w14:paraId="476B1977" w14:textId="77777777" w:rsidR="00B330F0" w:rsidRDefault="004E751A">
            <w:pPr>
              <w:spacing w:after="0" w:line="259" w:lineRule="auto"/>
              <w:ind w:left="0" w:right="0" w:firstLine="0"/>
              <w:jc w:val="left"/>
            </w:pPr>
            <w:r>
              <w:rPr>
                <w:rFonts w:ascii="Arial" w:eastAsia="Arial" w:hAnsi="Arial" w:cs="Arial"/>
                <w:b/>
                <w:sz w:val="18"/>
              </w:rPr>
              <w:t>(ADVOGADO(A))</w:t>
            </w:r>
          </w:p>
        </w:tc>
      </w:tr>
      <w:tr w:rsidR="00B330F0" w14:paraId="295869FB" w14:textId="77777777">
        <w:trPr>
          <w:trHeight w:val="310"/>
        </w:trPr>
        <w:tc>
          <w:tcPr>
            <w:tcW w:w="5230" w:type="dxa"/>
            <w:tcBorders>
              <w:top w:val="single" w:sz="4" w:space="0" w:color="000000"/>
              <w:left w:val="single" w:sz="4" w:space="0" w:color="000000"/>
              <w:bottom w:val="single" w:sz="4" w:space="0" w:color="000000"/>
              <w:right w:val="single" w:sz="4" w:space="0" w:color="000000"/>
            </w:tcBorders>
            <w:vAlign w:val="bottom"/>
          </w:tcPr>
          <w:p w14:paraId="502D8787" w14:textId="77777777" w:rsidR="00B330F0" w:rsidRDefault="004E751A">
            <w:pPr>
              <w:spacing w:after="0" w:line="259" w:lineRule="auto"/>
              <w:ind w:left="0" w:right="0" w:firstLine="0"/>
              <w:jc w:val="left"/>
            </w:pPr>
            <w:r>
              <w:rPr>
                <w:rFonts w:ascii="Arial" w:eastAsia="Arial" w:hAnsi="Arial" w:cs="Arial"/>
                <w:b/>
                <w:sz w:val="18"/>
              </w:rPr>
              <w:t>MUNICIPIO DE GARANHUNS (RÉU)</w:t>
            </w:r>
          </w:p>
        </w:tc>
        <w:tc>
          <w:tcPr>
            <w:tcW w:w="5230" w:type="dxa"/>
            <w:tcBorders>
              <w:top w:val="single" w:sz="4" w:space="0" w:color="000000"/>
              <w:left w:val="single" w:sz="4" w:space="0" w:color="000000"/>
              <w:bottom w:val="single" w:sz="4" w:space="0" w:color="000000"/>
              <w:right w:val="single" w:sz="4" w:space="0" w:color="000000"/>
            </w:tcBorders>
          </w:tcPr>
          <w:p w14:paraId="7DB524F9" w14:textId="77777777" w:rsidR="00B330F0" w:rsidRDefault="00B330F0">
            <w:pPr>
              <w:spacing w:after="160" w:line="259" w:lineRule="auto"/>
              <w:ind w:left="0" w:right="0" w:firstLine="0"/>
              <w:jc w:val="left"/>
            </w:pPr>
          </w:p>
        </w:tc>
      </w:tr>
    </w:tbl>
    <w:p w14:paraId="3FE68FE2" w14:textId="77777777" w:rsidR="00B330F0" w:rsidRDefault="004E751A">
      <w:pPr>
        <w:spacing w:after="0" w:line="259" w:lineRule="auto"/>
        <w:ind w:left="0" w:right="0" w:firstLine="0"/>
        <w:jc w:val="left"/>
      </w:pPr>
      <w:r>
        <w:rPr>
          <w:rFonts w:ascii="Arial" w:eastAsia="Arial" w:hAnsi="Arial" w:cs="Arial"/>
          <w:sz w:val="12"/>
        </w:rPr>
        <w:t xml:space="preserve"> </w:t>
      </w:r>
    </w:p>
    <w:tbl>
      <w:tblPr>
        <w:tblStyle w:val="TableGrid"/>
        <w:tblW w:w="10460" w:type="dxa"/>
        <w:tblInd w:w="0" w:type="dxa"/>
        <w:tblCellMar>
          <w:top w:w="71" w:type="dxa"/>
          <w:left w:w="40" w:type="dxa"/>
          <w:bottom w:w="0" w:type="dxa"/>
          <w:right w:w="73" w:type="dxa"/>
        </w:tblCellMar>
        <w:tblLook w:val="04A0" w:firstRow="1" w:lastRow="0" w:firstColumn="1" w:lastColumn="0" w:noHBand="0" w:noVBand="1"/>
      </w:tblPr>
      <w:tblGrid>
        <w:gridCol w:w="1047"/>
        <w:gridCol w:w="1425"/>
        <w:gridCol w:w="1930"/>
        <w:gridCol w:w="2729"/>
        <w:gridCol w:w="3329"/>
      </w:tblGrid>
      <w:tr w:rsidR="00B330F0" w14:paraId="7657CFD1" w14:textId="77777777">
        <w:trPr>
          <w:trHeight w:val="300"/>
        </w:trPr>
        <w:tc>
          <w:tcPr>
            <w:tcW w:w="2472" w:type="dxa"/>
            <w:gridSpan w:val="2"/>
            <w:tcBorders>
              <w:top w:val="single" w:sz="4" w:space="0" w:color="000000"/>
              <w:left w:val="single" w:sz="4" w:space="0" w:color="000000"/>
              <w:bottom w:val="single" w:sz="4" w:space="0" w:color="000000"/>
              <w:right w:val="nil"/>
            </w:tcBorders>
            <w:shd w:val="clear" w:color="auto" w:fill="DCDCDC"/>
          </w:tcPr>
          <w:p w14:paraId="0B2AB8CE" w14:textId="77777777" w:rsidR="00B330F0" w:rsidRDefault="00B330F0">
            <w:pPr>
              <w:spacing w:after="160" w:line="259" w:lineRule="auto"/>
              <w:ind w:left="0" w:right="0" w:firstLine="0"/>
              <w:jc w:val="left"/>
            </w:pPr>
          </w:p>
        </w:tc>
        <w:tc>
          <w:tcPr>
            <w:tcW w:w="1930" w:type="dxa"/>
            <w:tcBorders>
              <w:top w:val="single" w:sz="4" w:space="0" w:color="000000"/>
              <w:left w:val="nil"/>
              <w:bottom w:val="single" w:sz="4" w:space="0" w:color="000000"/>
              <w:right w:val="nil"/>
            </w:tcBorders>
            <w:shd w:val="clear" w:color="auto" w:fill="DCDCDC"/>
          </w:tcPr>
          <w:p w14:paraId="0100794D" w14:textId="77777777" w:rsidR="00B330F0" w:rsidRDefault="00B330F0">
            <w:pPr>
              <w:spacing w:after="160" w:line="259" w:lineRule="auto"/>
              <w:ind w:left="0" w:right="0" w:firstLine="0"/>
              <w:jc w:val="left"/>
            </w:pPr>
          </w:p>
        </w:tc>
        <w:tc>
          <w:tcPr>
            <w:tcW w:w="6058" w:type="dxa"/>
            <w:gridSpan w:val="2"/>
            <w:tcBorders>
              <w:top w:val="single" w:sz="4" w:space="0" w:color="000000"/>
              <w:left w:val="nil"/>
              <w:bottom w:val="single" w:sz="4" w:space="0" w:color="000000"/>
              <w:right w:val="single" w:sz="4" w:space="0" w:color="000000"/>
            </w:tcBorders>
            <w:shd w:val="clear" w:color="auto" w:fill="DCDCDC"/>
          </w:tcPr>
          <w:p w14:paraId="0A3A36DF" w14:textId="77777777" w:rsidR="00B330F0" w:rsidRDefault="004E751A">
            <w:pPr>
              <w:spacing w:after="0" w:line="259" w:lineRule="auto"/>
              <w:ind w:left="243" w:right="0" w:firstLine="0"/>
              <w:jc w:val="left"/>
            </w:pPr>
            <w:r>
              <w:rPr>
                <w:rFonts w:ascii="Arial" w:eastAsia="Arial" w:hAnsi="Arial" w:cs="Arial"/>
                <w:b/>
                <w:sz w:val="18"/>
              </w:rPr>
              <w:t>Documentos</w:t>
            </w:r>
          </w:p>
        </w:tc>
      </w:tr>
      <w:tr w:rsidR="00B330F0" w14:paraId="04063221" w14:textId="77777777">
        <w:trPr>
          <w:trHeight w:val="480"/>
        </w:trPr>
        <w:tc>
          <w:tcPr>
            <w:tcW w:w="1046" w:type="dxa"/>
            <w:tcBorders>
              <w:top w:val="single" w:sz="4" w:space="0" w:color="000000"/>
              <w:left w:val="single" w:sz="4" w:space="0" w:color="000000"/>
              <w:bottom w:val="single" w:sz="4" w:space="0" w:color="000000"/>
              <w:right w:val="single" w:sz="4" w:space="0" w:color="000000"/>
            </w:tcBorders>
            <w:shd w:val="clear" w:color="auto" w:fill="DCDCDC"/>
          </w:tcPr>
          <w:p w14:paraId="21CC8338" w14:textId="77777777" w:rsidR="00B330F0" w:rsidRDefault="004E751A">
            <w:pPr>
              <w:spacing w:after="0" w:line="259" w:lineRule="auto"/>
              <w:ind w:left="33" w:right="0" w:firstLine="0"/>
              <w:jc w:val="center"/>
            </w:pPr>
            <w:r>
              <w:rPr>
                <w:rFonts w:ascii="Arial" w:eastAsia="Arial" w:hAnsi="Arial" w:cs="Arial"/>
                <w:b/>
                <w:sz w:val="18"/>
              </w:rPr>
              <w:t>Id.</w:t>
            </w:r>
          </w:p>
        </w:tc>
        <w:tc>
          <w:tcPr>
            <w:tcW w:w="1426" w:type="dxa"/>
            <w:tcBorders>
              <w:top w:val="single" w:sz="4" w:space="0" w:color="000000"/>
              <w:left w:val="single" w:sz="4" w:space="0" w:color="000000"/>
              <w:bottom w:val="single" w:sz="4" w:space="0" w:color="000000"/>
              <w:right w:val="single" w:sz="4" w:space="0" w:color="000000"/>
            </w:tcBorders>
            <w:shd w:val="clear" w:color="auto" w:fill="DCDCDC"/>
          </w:tcPr>
          <w:p w14:paraId="3DD2C7FF" w14:textId="77777777" w:rsidR="00B330F0" w:rsidRDefault="004E751A">
            <w:pPr>
              <w:spacing w:after="0" w:line="259" w:lineRule="auto"/>
              <w:ind w:left="0" w:right="0" w:firstLine="0"/>
              <w:jc w:val="center"/>
            </w:pPr>
            <w:r>
              <w:rPr>
                <w:rFonts w:ascii="Arial" w:eastAsia="Arial" w:hAnsi="Arial" w:cs="Arial"/>
                <w:b/>
                <w:sz w:val="18"/>
              </w:rPr>
              <w:t>Data da Assinatura</w:t>
            </w:r>
          </w:p>
        </w:tc>
        <w:tc>
          <w:tcPr>
            <w:tcW w:w="1930" w:type="dxa"/>
            <w:tcBorders>
              <w:top w:val="single" w:sz="4" w:space="0" w:color="000000"/>
              <w:left w:val="single" w:sz="4" w:space="0" w:color="000000"/>
              <w:bottom w:val="single" w:sz="4" w:space="0" w:color="000000"/>
              <w:right w:val="nil"/>
            </w:tcBorders>
            <w:shd w:val="clear" w:color="auto" w:fill="DCDCDC"/>
          </w:tcPr>
          <w:p w14:paraId="5A4F5482" w14:textId="77777777" w:rsidR="00B330F0" w:rsidRDefault="004E751A">
            <w:pPr>
              <w:spacing w:after="0" w:line="259" w:lineRule="auto"/>
              <w:ind w:left="0" w:right="0" w:firstLine="0"/>
              <w:jc w:val="left"/>
            </w:pPr>
            <w:r>
              <w:rPr>
                <w:rFonts w:ascii="Arial" w:eastAsia="Arial" w:hAnsi="Arial" w:cs="Arial"/>
                <w:b/>
                <w:sz w:val="18"/>
              </w:rPr>
              <w:t>Documento</w:t>
            </w:r>
          </w:p>
        </w:tc>
        <w:tc>
          <w:tcPr>
            <w:tcW w:w="2729" w:type="dxa"/>
            <w:tcBorders>
              <w:top w:val="single" w:sz="4" w:space="0" w:color="000000"/>
              <w:left w:val="nil"/>
              <w:bottom w:val="single" w:sz="4" w:space="0" w:color="000000"/>
              <w:right w:val="single" w:sz="4" w:space="0" w:color="000000"/>
            </w:tcBorders>
            <w:shd w:val="clear" w:color="auto" w:fill="DCDCDC"/>
          </w:tcPr>
          <w:p w14:paraId="3069D505" w14:textId="77777777" w:rsidR="00B330F0" w:rsidRDefault="00B330F0">
            <w:pPr>
              <w:spacing w:after="160" w:line="259" w:lineRule="auto"/>
              <w:ind w:left="0" w:right="0" w:firstLine="0"/>
              <w:jc w:val="left"/>
            </w:pPr>
          </w:p>
        </w:tc>
        <w:tc>
          <w:tcPr>
            <w:tcW w:w="3328" w:type="dxa"/>
            <w:tcBorders>
              <w:top w:val="single" w:sz="4" w:space="0" w:color="000000"/>
              <w:left w:val="single" w:sz="4" w:space="0" w:color="000000"/>
              <w:bottom w:val="single" w:sz="4" w:space="0" w:color="000000"/>
              <w:right w:val="single" w:sz="4" w:space="0" w:color="000000"/>
            </w:tcBorders>
            <w:shd w:val="clear" w:color="auto" w:fill="DCDCDC"/>
          </w:tcPr>
          <w:p w14:paraId="671DF9D4" w14:textId="77777777" w:rsidR="00B330F0" w:rsidRDefault="004E751A">
            <w:pPr>
              <w:spacing w:after="0" w:line="259" w:lineRule="auto"/>
              <w:ind w:left="33" w:right="0" w:firstLine="0"/>
              <w:jc w:val="center"/>
            </w:pPr>
            <w:r>
              <w:rPr>
                <w:rFonts w:ascii="Arial" w:eastAsia="Arial" w:hAnsi="Arial" w:cs="Arial"/>
                <w:b/>
                <w:sz w:val="18"/>
              </w:rPr>
              <w:t>Tipo</w:t>
            </w:r>
          </w:p>
        </w:tc>
      </w:tr>
      <w:tr w:rsidR="00B330F0" w14:paraId="3DC1F262" w14:textId="77777777">
        <w:trPr>
          <w:trHeight w:val="440"/>
        </w:trPr>
        <w:tc>
          <w:tcPr>
            <w:tcW w:w="1046" w:type="dxa"/>
            <w:tcBorders>
              <w:top w:val="single" w:sz="4" w:space="0" w:color="000000"/>
              <w:left w:val="single" w:sz="4" w:space="0" w:color="000000"/>
              <w:bottom w:val="single" w:sz="4" w:space="0" w:color="000000"/>
              <w:right w:val="single" w:sz="4" w:space="0" w:color="000000"/>
            </w:tcBorders>
            <w:shd w:val="clear" w:color="auto" w:fill="FFFFFF"/>
          </w:tcPr>
          <w:p w14:paraId="7CBDD5FB" w14:textId="77777777" w:rsidR="00B330F0" w:rsidRDefault="004E751A">
            <w:pPr>
              <w:spacing w:after="0" w:line="259" w:lineRule="auto"/>
              <w:ind w:left="33" w:right="0" w:firstLine="0"/>
            </w:pPr>
            <w:r>
              <w:rPr>
                <w:rFonts w:ascii="Arial" w:eastAsia="Arial" w:hAnsi="Arial" w:cs="Arial"/>
                <w:sz w:val="18"/>
              </w:rPr>
              <w:t>235638034</w:t>
            </w:r>
          </w:p>
        </w:tc>
        <w:tc>
          <w:tcPr>
            <w:tcW w:w="1426" w:type="dxa"/>
            <w:tcBorders>
              <w:top w:val="single" w:sz="4" w:space="0" w:color="000000"/>
              <w:left w:val="single" w:sz="4" w:space="0" w:color="000000"/>
              <w:bottom w:val="single" w:sz="4" w:space="0" w:color="000000"/>
              <w:right w:val="single" w:sz="4" w:space="0" w:color="000000"/>
            </w:tcBorders>
            <w:shd w:val="clear" w:color="auto" w:fill="FFFFFF"/>
          </w:tcPr>
          <w:p w14:paraId="19C6EEA7" w14:textId="77777777" w:rsidR="00B330F0" w:rsidRDefault="004E751A">
            <w:pPr>
              <w:spacing w:after="0" w:line="259" w:lineRule="auto"/>
              <w:ind w:left="0" w:right="0" w:firstLine="0"/>
              <w:jc w:val="left"/>
            </w:pPr>
            <w:r>
              <w:rPr>
                <w:rFonts w:ascii="Arial" w:eastAsia="Arial" w:hAnsi="Arial" w:cs="Arial"/>
                <w:sz w:val="18"/>
              </w:rPr>
              <w:t>02/04/2026</w:t>
            </w:r>
          </w:p>
          <w:p w14:paraId="7FBE48DE" w14:textId="77777777" w:rsidR="00B330F0" w:rsidRDefault="004E751A">
            <w:pPr>
              <w:spacing w:after="0" w:line="259" w:lineRule="auto"/>
              <w:ind w:left="0" w:right="0" w:firstLine="0"/>
              <w:jc w:val="left"/>
            </w:pPr>
            <w:r>
              <w:rPr>
                <w:rFonts w:ascii="Arial" w:eastAsia="Arial" w:hAnsi="Arial" w:cs="Arial"/>
                <w:sz w:val="18"/>
              </w:rPr>
              <w:t>06:36</w:t>
            </w:r>
          </w:p>
        </w:tc>
        <w:tc>
          <w:tcPr>
            <w:tcW w:w="1930" w:type="dxa"/>
            <w:tcBorders>
              <w:top w:val="single" w:sz="4" w:space="0" w:color="000000"/>
              <w:left w:val="single" w:sz="4" w:space="0" w:color="000000"/>
              <w:bottom w:val="single" w:sz="4" w:space="0" w:color="000000"/>
              <w:right w:val="nil"/>
            </w:tcBorders>
            <w:shd w:val="clear" w:color="auto" w:fill="FFFFFF"/>
          </w:tcPr>
          <w:p w14:paraId="41FE6270" w14:textId="77777777" w:rsidR="00B330F0" w:rsidRDefault="004E751A">
            <w:pPr>
              <w:spacing w:after="0" w:line="259" w:lineRule="auto"/>
              <w:ind w:left="0" w:right="0" w:firstLine="0"/>
              <w:jc w:val="left"/>
            </w:pPr>
            <w:r>
              <w:rPr>
                <w:rFonts w:ascii="Arial" w:eastAsia="Arial" w:hAnsi="Arial" w:cs="Arial"/>
                <w:color w:val="0000FF"/>
                <w:sz w:val="20"/>
              </w:rPr>
              <w:t>Sentença (Outras)</w:t>
            </w:r>
          </w:p>
          <w:p w14:paraId="57132AD8" w14:textId="77777777" w:rsidR="00B330F0" w:rsidRDefault="004E751A">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3F994009" wp14:editId="753A6E89">
                      <wp:extent cx="1037590" cy="8467"/>
                      <wp:effectExtent l="0" t="0" r="0" b="0"/>
                      <wp:docPr id="6750" name="Group 6750"/>
                      <wp:cNvGraphicFramePr/>
                      <a:graphic xmlns:a="http://schemas.openxmlformats.org/drawingml/2006/main">
                        <a:graphicData uri="http://schemas.microsoft.com/office/word/2010/wordprocessingGroup">
                          <wpg:wgp>
                            <wpg:cNvGrpSpPr/>
                            <wpg:grpSpPr>
                              <a:xfrm>
                                <a:off x="0" y="0"/>
                                <a:ext cx="1037590" cy="8467"/>
                                <a:chOff x="0" y="0"/>
                                <a:chExt cx="1037590" cy="8467"/>
                              </a:xfrm>
                            </wpg:grpSpPr>
                            <wps:wsp>
                              <wps:cNvPr id="93" name="Shape 93"/>
                              <wps:cNvSpPr/>
                              <wps:spPr>
                                <a:xfrm>
                                  <a:off x="0" y="0"/>
                                  <a:ext cx="1037590" cy="0"/>
                                </a:xfrm>
                                <a:custGeom>
                                  <a:avLst/>
                                  <a:gdLst/>
                                  <a:ahLst/>
                                  <a:cxnLst/>
                                  <a:rect l="0" t="0" r="0" b="0"/>
                                  <a:pathLst>
                                    <a:path w="1037590">
                                      <a:moveTo>
                                        <a:pt x="0" y="0"/>
                                      </a:moveTo>
                                      <a:lnTo>
                                        <a:pt x="1037590" y="0"/>
                                      </a:lnTo>
                                    </a:path>
                                  </a:pathLst>
                                </a:custGeom>
                                <a:ln w="8467" cap="flat">
                                  <a:miter lim="127000"/>
                                </a:ln>
                              </wps:spPr>
                              <wps:style>
                                <a:lnRef idx="1">
                                  <a:srgbClr val="0000F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50" style="width:81.7pt;height:0.66667pt;mso-position-horizontal-relative:char;mso-position-vertical-relative:line" coordsize="10375,84">
                      <v:shape id="Shape 93" style="position:absolute;width:10375;height:0;left:0;top:0;" coordsize="1037590,0" path="m0,0l1037590,0">
                        <v:stroke weight="0.66667pt" endcap="flat" joinstyle="miter" miterlimit="10" on="true" color="#0000ff"/>
                        <v:fill on="false" color="#000000" opacity="0"/>
                      </v:shape>
                    </v:group>
                  </w:pict>
                </mc:Fallback>
              </mc:AlternateContent>
            </w:r>
          </w:p>
        </w:tc>
        <w:tc>
          <w:tcPr>
            <w:tcW w:w="2729" w:type="dxa"/>
            <w:tcBorders>
              <w:top w:val="single" w:sz="4" w:space="0" w:color="000000"/>
              <w:left w:val="nil"/>
              <w:bottom w:val="single" w:sz="4" w:space="0" w:color="000000"/>
              <w:right w:val="single" w:sz="4" w:space="0" w:color="000000"/>
            </w:tcBorders>
            <w:shd w:val="clear" w:color="auto" w:fill="FFFFFF"/>
          </w:tcPr>
          <w:p w14:paraId="155F773D" w14:textId="77777777" w:rsidR="00B330F0" w:rsidRDefault="00B330F0">
            <w:pPr>
              <w:spacing w:after="160" w:line="259" w:lineRule="auto"/>
              <w:ind w:left="0" w:right="0" w:firstLine="0"/>
              <w:jc w:val="left"/>
            </w:pPr>
          </w:p>
        </w:tc>
        <w:tc>
          <w:tcPr>
            <w:tcW w:w="3328" w:type="dxa"/>
            <w:tcBorders>
              <w:top w:val="single" w:sz="4" w:space="0" w:color="000000"/>
              <w:left w:val="single" w:sz="4" w:space="0" w:color="000000"/>
              <w:bottom w:val="single" w:sz="4" w:space="0" w:color="000000"/>
              <w:right w:val="single" w:sz="4" w:space="0" w:color="000000"/>
            </w:tcBorders>
            <w:shd w:val="clear" w:color="auto" w:fill="FFFFFF"/>
          </w:tcPr>
          <w:p w14:paraId="0A6E1FAD" w14:textId="77777777" w:rsidR="00B330F0" w:rsidRDefault="004E751A">
            <w:pPr>
              <w:spacing w:after="0" w:line="259" w:lineRule="auto"/>
              <w:ind w:left="33" w:right="0" w:firstLine="0"/>
              <w:jc w:val="center"/>
            </w:pPr>
            <w:r>
              <w:rPr>
                <w:rFonts w:ascii="Arial" w:eastAsia="Arial" w:hAnsi="Arial" w:cs="Arial"/>
                <w:sz w:val="18"/>
              </w:rPr>
              <w:t>Sentença (Outras)</w:t>
            </w:r>
          </w:p>
        </w:tc>
      </w:tr>
    </w:tbl>
    <w:p w14:paraId="547C7ED4" w14:textId="77777777" w:rsidR="00B330F0" w:rsidRDefault="00B330F0">
      <w:pPr>
        <w:sectPr w:rsidR="00B330F0">
          <w:footerReference w:type="even" r:id="rId9"/>
          <w:footerReference w:type="default" r:id="rId10"/>
          <w:footerReference w:type="first" r:id="rId11"/>
          <w:pgSz w:w="11900" w:h="16840"/>
          <w:pgMar w:top="720" w:right="1440" w:bottom="1440" w:left="720" w:header="720" w:footer="720" w:gutter="0"/>
          <w:cols w:space="720"/>
        </w:sectPr>
      </w:pPr>
    </w:p>
    <w:p w14:paraId="471A7411" w14:textId="77777777" w:rsidR="00B330F0" w:rsidRDefault="004E751A">
      <w:pPr>
        <w:spacing w:after="383" w:line="259" w:lineRule="auto"/>
        <w:ind w:left="4638" w:right="0" w:firstLine="0"/>
        <w:jc w:val="left"/>
      </w:pPr>
      <w:r>
        <w:rPr>
          <w:noProof/>
        </w:rPr>
        <w:drawing>
          <wp:inline distT="0" distB="0" distL="0" distR="0" wp14:anchorId="5DAF72BB" wp14:editId="2ED15E9B">
            <wp:extent cx="752475" cy="762000"/>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12"/>
                    <a:stretch>
                      <a:fillRect/>
                    </a:stretch>
                  </pic:blipFill>
                  <pic:spPr>
                    <a:xfrm>
                      <a:off x="0" y="0"/>
                      <a:ext cx="752475" cy="762000"/>
                    </a:xfrm>
                    <a:prstGeom prst="rect">
                      <a:avLst/>
                    </a:prstGeom>
                  </pic:spPr>
                </pic:pic>
              </a:graphicData>
            </a:graphic>
          </wp:inline>
        </w:drawing>
      </w:r>
    </w:p>
    <w:p w14:paraId="5CE37CFA" w14:textId="77777777" w:rsidR="00B330F0" w:rsidRDefault="004E751A">
      <w:pPr>
        <w:spacing w:after="30" w:line="262" w:lineRule="auto"/>
        <w:jc w:val="center"/>
      </w:pPr>
      <w:r>
        <w:rPr>
          <w:sz w:val="20"/>
        </w:rPr>
        <w:t xml:space="preserve">Tribunal de Justiça de Pernambuco </w:t>
      </w:r>
    </w:p>
    <w:p w14:paraId="1E3E63A1" w14:textId="77777777" w:rsidR="00B330F0" w:rsidRDefault="004E751A">
      <w:pPr>
        <w:spacing w:after="30" w:line="262" w:lineRule="auto"/>
        <w:jc w:val="center"/>
      </w:pPr>
      <w:r>
        <w:rPr>
          <w:sz w:val="20"/>
        </w:rPr>
        <w:t xml:space="preserve">Poder Judiciário </w:t>
      </w:r>
    </w:p>
    <w:p w14:paraId="5A80E50A" w14:textId="77777777" w:rsidR="00B330F0" w:rsidRDefault="004E751A">
      <w:pPr>
        <w:spacing w:after="272" w:line="259" w:lineRule="auto"/>
        <w:ind w:left="0" w:firstLine="0"/>
        <w:jc w:val="center"/>
      </w:pPr>
      <w:r>
        <w:rPr>
          <w:b/>
          <w:sz w:val="20"/>
        </w:rPr>
        <w:t>Vara da Fazenda Pública da Comarca de Garanhuns</w:t>
      </w:r>
    </w:p>
    <w:p w14:paraId="1DDF8A66" w14:textId="77777777" w:rsidR="00B330F0" w:rsidRDefault="004E751A">
      <w:pPr>
        <w:spacing w:after="270" w:line="262" w:lineRule="auto"/>
        <w:jc w:val="center"/>
      </w:pPr>
      <w:r>
        <w:rPr>
          <w:sz w:val="20"/>
        </w:rPr>
        <w:t>AV RUI BARBOSA, 479, - até 1061 - lado ímpar, HELIÓPOLIS, GARANHUNS - PE - CEP: 55295-530 - F:(87) 37649074</w:t>
      </w:r>
    </w:p>
    <w:p w14:paraId="23CD35C3" w14:textId="77777777" w:rsidR="00B330F0" w:rsidRDefault="004E751A">
      <w:pPr>
        <w:spacing w:after="272" w:line="259" w:lineRule="auto"/>
        <w:ind w:left="0" w:right="0" w:firstLine="0"/>
        <w:jc w:val="left"/>
      </w:pPr>
      <w:r>
        <w:rPr>
          <w:sz w:val="20"/>
        </w:rPr>
        <w:t xml:space="preserve">Processo nº </w:t>
      </w:r>
      <w:r>
        <w:rPr>
          <w:b/>
          <w:sz w:val="20"/>
        </w:rPr>
        <w:t>0004479-51.2025.8.17.2640</w:t>
      </w:r>
    </w:p>
    <w:p w14:paraId="129430FD" w14:textId="77777777" w:rsidR="00B330F0" w:rsidRDefault="004E751A">
      <w:pPr>
        <w:spacing w:after="270" w:line="262" w:lineRule="auto"/>
        <w:ind w:left="-5" w:right="0"/>
        <w:jc w:val="left"/>
      </w:pPr>
      <w:r>
        <w:rPr>
          <w:sz w:val="20"/>
        </w:rPr>
        <w:t>AUTOR(A): ESCRITORIO CENTRAL DE ARRECADACAO E DISTRIBUICAO ECAD</w:t>
      </w:r>
    </w:p>
    <w:p w14:paraId="5A2827C2" w14:textId="77777777" w:rsidR="00B330F0" w:rsidRDefault="004E751A">
      <w:pPr>
        <w:spacing w:after="270" w:line="262" w:lineRule="auto"/>
        <w:ind w:left="-5" w:right="0"/>
        <w:jc w:val="left"/>
      </w:pPr>
      <w:r>
        <w:rPr>
          <w:sz w:val="20"/>
        </w:rPr>
        <w:t>RÉU: MUNICIPIO DE GARANHUNS</w:t>
      </w:r>
    </w:p>
    <w:p w14:paraId="518A331D" w14:textId="77777777" w:rsidR="00B330F0" w:rsidRDefault="004E751A">
      <w:pPr>
        <w:spacing w:after="216" w:line="259" w:lineRule="auto"/>
        <w:ind w:left="0" w:right="0" w:firstLine="0"/>
        <w:jc w:val="left"/>
      </w:pPr>
      <w:r>
        <w:t xml:space="preserve"> </w:t>
      </w:r>
    </w:p>
    <w:p w14:paraId="3DD7C01E" w14:textId="77777777" w:rsidR="00B330F0" w:rsidRDefault="004E751A">
      <w:pPr>
        <w:spacing w:after="295" w:line="259" w:lineRule="auto"/>
        <w:ind w:left="0" w:right="0" w:firstLine="0"/>
        <w:jc w:val="left"/>
      </w:pPr>
      <w:r>
        <w:t xml:space="preserve"> </w:t>
      </w:r>
    </w:p>
    <w:p w14:paraId="18F21DE9" w14:textId="77777777" w:rsidR="00B330F0" w:rsidRDefault="004E751A">
      <w:pPr>
        <w:spacing w:after="295" w:line="259" w:lineRule="auto"/>
        <w:ind w:left="0" w:firstLine="0"/>
        <w:jc w:val="center"/>
      </w:pPr>
      <w:r>
        <w:rPr>
          <w:b/>
        </w:rPr>
        <w:t>SENTENÇA</w:t>
      </w:r>
    </w:p>
    <w:p w14:paraId="1B723369" w14:textId="77777777" w:rsidR="00B330F0" w:rsidRDefault="004E751A">
      <w:pPr>
        <w:spacing w:after="216" w:line="259" w:lineRule="auto"/>
        <w:ind w:left="0" w:right="0" w:firstLine="0"/>
        <w:jc w:val="left"/>
      </w:pPr>
      <w:r>
        <w:t xml:space="preserve"> </w:t>
      </w:r>
    </w:p>
    <w:p w14:paraId="072B0CBA" w14:textId="77777777" w:rsidR="00B330F0" w:rsidRDefault="004E751A">
      <w:pPr>
        <w:spacing w:after="216" w:line="259" w:lineRule="auto"/>
        <w:ind w:left="0" w:right="0" w:firstLine="0"/>
        <w:jc w:val="left"/>
      </w:pPr>
      <w:r>
        <w:t xml:space="preserve"> </w:t>
      </w:r>
    </w:p>
    <w:p w14:paraId="1993FD49" w14:textId="77777777" w:rsidR="00B330F0" w:rsidRDefault="004E751A">
      <w:pPr>
        <w:pStyle w:val="Ttulo1"/>
        <w:ind w:left="198" w:right="0" w:hanging="213"/>
      </w:pPr>
      <w:r>
        <w:t>RELATÓRIO</w:t>
      </w:r>
    </w:p>
    <w:p w14:paraId="5D689875" w14:textId="77777777" w:rsidR="00B330F0" w:rsidRDefault="004E751A">
      <w:pPr>
        <w:ind w:left="-5" w:right="0"/>
      </w:pPr>
      <w:r>
        <w:t xml:space="preserve">O </w:t>
      </w:r>
      <w:r>
        <w:rPr>
          <w:b/>
        </w:rPr>
        <w:t>ESCRITÓRIO CENTRAL DE ARRECADAÇÃO E DISTRIBUIÇÃO - ECAD</w:t>
      </w:r>
      <w:r>
        <w:t xml:space="preserve">, qualificado nos autos, ajuizou a presente Ação de Cumprimento de Preceito Legal com pedido de Perdas e Danos em face do </w:t>
      </w:r>
      <w:r>
        <w:rPr>
          <w:b/>
        </w:rPr>
        <w:t>MUNICÍPIO DE GARANHUNS</w:t>
      </w:r>
      <w:r>
        <w:t>, também qualificado.</w:t>
      </w:r>
    </w:p>
    <w:p w14:paraId="10ADB086" w14:textId="77777777" w:rsidR="00B330F0" w:rsidRDefault="004E751A">
      <w:pPr>
        <w:ind w:left="-5" w:right="0"/>
      </w:pPr>
      <w:r>
        <w:t>A parte autora alega, em síntese, que o Município réu promoveu diversos eventos musicais de grande porte entre os anos de 2022 e 2025, com a execução pública de obras musicais e fonogramas, sem obter a devida e prévia autorização ou efetuar o pagamento dos direitos autorais correspondentes. A petição inicial (ID 208668983) lista detalhadamente os eventos, que incluem edições do “Carnaval nos Bairros”, “Festa de São José em Miracica”, “Festival Gospel Garanhuns”, “Garanhuns Jazz Festival”, “Festa de Santo An</w:t>
      </w:r>
      <w:r>
        <w:t>tônio”, “Festa de São Pedro”, “Festival Viva Dominguinhos/Garanhuns” e “Festival Viva Jesus”.</w:t>
      </w:r>
    </w:p>
    <w:p w14:paraId="7259CD5B" w14:textId="77777777" w:rsidR="00B330F0" w:rsidRDefault="004E751A">
      <w:pPr>
        <w:ind w:left="-5" w:right="0"/>
      </w:pPr>
      <w:r>
        <w:t>Fundamenta sua legitimidade no artigo 99 da Lei nº 9.610/98, que lhe atribui a prerrogativa exclusiva de arrecadar e distribuir os direitos autorais em todo o território nacional. Sustenta que a conduta do Município viola os artigos 28, 29 e 68 da mesma lei, que exigem autorização prévia e expressa do titular para a utilização de obras musicais em execuções públicas.</w:t>
      </w:r>
    </w:p>
    <w:p w14:paraId="7A28239A" w14:textId="77777777" w:rsidR="00B330F0" w:rsidRDefault="004E751A">
      <w:pPr>
        <w:spacing w:after="110"/>
        <w:ind w:left="-5" w:right="0"/>
      </w:pPr>
      <w:r>
        <w:t xml:space="preserve">Como pedido preliminar, requereu a exibição de todos os contratos firmados com as atrações musicais dos eventos listados, com base no artigo 396 do Código de Processo Civil. No mérito, pediu a condenação do réu ao pagamento de 10% sobre o custo total musical dos eventos (cachês e despesas com som, iluminação, etc.), conforme seu Regulamento de Arrecadação (ID 208668988), e a imposição de uma obrigação de não fazer, para que o Município se abstenha de promover futuros eventos sem o prévio licenciamento, sob </w:t>
      </w:r>
      <w:r>
        <w:t>pena de multa diária.</w:t>
      </w:r>
    </w:p>
    <w:p w14:paraId="70EABB69" w14:textId="77777777" w:rsidR="00B330F0" w:rsidRDefault="004E751A">
      <w:pPr>
        <w:spacing w:after="110"/>
        <w:ind w:left="-5" w:right="0"/>
      </w:pPr>
      <w:r>
        <w:t>O despacho inicial (ID 211416550) declarou prejudicado o pedido de tutela de urgência referente ao Festival de Inverno de Garanhuns, que já havia se encerrado, e determinou a citação do réu.</w:t>
      </w:r>
    </w:p>
    <w:p w14:paraId="78249DB5" w14:textId="77777777" w:rsidR="00B330F0" w:rsidRDefault="004E751A">
      <w:pPr>
        <w:spacing w:after="110"/>
        <w:ind w:left="-5" w:right="0"/>
      </w:pPr>
      <w:r>
        <w:t xml:space="preserve">Devidamente citado (ID 214177331), o </w:t>
      </w:r>
      <w:r>
        <w:rPr>
          <w:b/>
        </w:rPr>
        <w:t>Município de Garanhuns</w:t>
      </w:r>
      <w:r>
        <w:t xml:space="preserve"> apresentou contestação (ID 220198758), arguindo, em sede de preliminares:</w:t>
      </w:r>
    </w:p>
    <w:p w14:paraId="2FC31E9E" w14:textId="77777777" w:rsidR="00B330F0" w:rsidRDefault="004E751A">
      <w:pPr>
        <w:numPr>
          <w:ilvl w:val="0"/>
          <w:numId w:val="1"/>
        </w:numPr>
        <w:spacing w:after="113"/>
        <w:ind w:right="0"/>
      </w:pPr>
      <w:r>
        <w:rPr>
          <w:b/>
        </w:rPr>
        <w:t>Inépcia do pedido inibitório</w:t>
      </w:r>
      <w:r>
        <w:t>, por considerá-lo genérico e indeterminado ao abranger “quaisquer eventos futuros”.</w:t>
      </w:r>
    </w:p>
    <w:p w14:paraId="6B7A6298" w14:textId="77777777" w:rsidR="00B330F0" w:rsidRDefault="004E751A">
      <w:pPr>
        <w:numPr>
          <w:ilvl w:val="0"/>
          <w:numId w:val="1"/>
        </w:numPr>
        <w:spacing w:after="113"/>
        <w:ind w:right="0"/>
      </w:pPr>
      <w:r>
        <w:rPr>
          <w:b/>
        </w:rPr>
        <w:t>Ilegitimidade ativa e falta de interesse processual do ECAD</w:t>
      </w:r>
      <w:r>
        <w:t>, por não ter delimitado as obras utilizadas e demais critérios previstos no artigo 8º do Decreto nº 9.574/2018.</w:t>
      </w:r>
    </w:p>
    <w:p w14:paraId="51256132" w14:textId="77777777" w:rsidR="00B330F0" w:rsidRDefault="004E751A">
      <w:pPr>
        <w:numPr>
          <w:ilvl w:val="0"/>
          <w:numId w:val="1"/>
        </w:numPr>
        <w:ind w:right="0"/>
      </w:pPr>
      <w:r>
        <w:rPr>
          <w:b/>
        </w:rPr>
        <w:t>Ilegitimidade passiva</w:t>
      </w:r>
      <w:r>
        <w:t>, ao argumento de que a responsabilidade pelo pagamento dos direitos autorais era das empresas contratadas para a realização dos eventos. Sustentou que tal obrigação se enquadra como "encargo comercial", cuja responsabilidade, segundo o artigo 121 da Lei nº 14.133/2021, é exclusiva do contratado, não podendo ser transferida à Administração Pública. Juntou editais (IDs 220198759 a 220198766) e um contrato como exemplo (ID 220198767).</w:t>
      </w:r>
    </w:p>
    <w:p w14:paraId="220E9E4C" w14:textId="77777777" w:rsidR="00B330F0" w:rsidRDefault="004E751A">
      <w:pPr>
        <w:ind w:left="-5" w:right="0"/>
      </w:pPr>
      <w:r>
        <w:t>No mérito, defendeu a total improcedência dos pedidos, reforçando os seguintes pontos:</w:t>
      </w:r>
    </w:p>
    <w:p w14:paraId="25DB8900" w14:textId="77777777" w:rsidR="00B330F0" w:rsidRDefault="004E751A">
      <w:pPr>
        <w:numPr>
          <w:ilvl w:val="0"/>
          <w:numId w:val="2"/>
        </w:numPr>
        <w:spacing w:after="113"/>
        <w:ind w:right="0"/>
      </w:pPr>
      <w:r>
        <w:t>A impossibilidade de cobrança em eventos de natureza pública, gratuita e cultural, sem finalidade lucrativa.</w:t>
      </w:r>
    </w:p>
    <w:p w14:paraId="72239219" w14:textId="77777777" w:rsidR="00B330F0" w:rsidRDefault="004E751A">
      <w:pPr>
        <w:numPr>
          <w:ilvl w:val="0"/>
          <w:numId w:val="2"/>
        </w:numPr>
        <w:spacing w:after="113"/>
        <w:ind w:right="0"/>
      </w:pPr>
      <w:r>
        <w:t>A ausência de comprovação, pelo autor, de quais obras protegidas foram executadas, o que seria indispensável para configurar o fato gerador da cobrança.</w:t>
      </w:r>
    </w:p>
    <w:p w14:paraId="59A8C5C3" w14:textId="77777777" w:rsidR="00B330F0" w:rsidRDefault="004E751A">
      <w:pPr>
        <w:numPr>
          <w:ilvl w:val="0"/>
          <w:numId w:val="2"/>
        </w:numPr>
        <w:spacing w:after="109"/>
        <w:ind w:right="0"/>
      </w:pPr>
      <w:r>
        <w:t>A inaplicabilidade da base de cálculo de 10% sobre o orçamento total, por se tratar de critério unilateral do ECAD, que levaria ao enriquecimento ilícito ao incluir despesas não relacionadas à execução musical.</w:t>
      </w:r>
    </w:p>
    <w:p w14:paraId="3AB7AD45" w14:textId="77777777" w:rsidR="00B330F0" w:rsidRDefault="004E751A">
      <w:pPr>
        <w:ind w:left="-5" w:right="0"/>
      </w:pPr>
      <w:r>
        <w:t>O ECAD apresentou réplica à contestação (ID 226990335), rebatendo as preliminares e os argumentos de mérito. Reiterou sua legitimidade, a solidariedade entre o promotor do evento e os contratados (art. 110 da Lei nº 9.610/98) e a jurisprudência consolidada sobre a desnecessidade de comprovação do lucro para a cobrança dos direitos autorais.</w:t>
      </w:r>
    </w:p>
    <w:p w14:paraId="337F0B55" w14:textId="77777777" w:rsidR="00B330F0" w:rsidRDefault="004E751A">
      <w:pPr>
        <w:ind w:left="-5" w:right="0"/>
      </w:pPr>
      <w:r>
        <w:t>Intimadas a especificar provas, as partes não manifestaram interesse na produção de outras, vindo os autos conclusos para julgamento.</w:t>
      </w:r>
    </w:p>
    <w:p w14:paraId="2BE2787F" w14:textId="77777777" w:rsidR="00B330F0" w:rsidRDefault="004E751A">
      <w:pPr>
        <w:ind w:left="-5" w:right="0"/>
      </w:pPr>
      <w:r>
        <w:t xml:space="preserve">É o relatório. </w:t>
      </w:r>
      <w:r>
        <w:rPr>
          <w:b/>
        </w:rPr>
        <w:t>Decido.</w:t>
      </w:r>
    </w:p>
    <w:p w14:paraId="2A3577F4" w14:textId="77777777" w:rsidR="00B330F0" w:rsidRDefault="004E751A">
      <w:pPr>
        <w:pStyle w:val="Ttulo1"/>
        <w:ind w:left="292" w:right="0" w:hanging="307"/>
      </w:pPr>
      <w:r>
        <w:t>FUNDAMENTAÇÃO</w:t>
      </w:r>
    </w:p>
    <w:p w14:paraId="6047A0FB" w14:textId="77777777" w:rsidR="00B330F0" w:rsidRDefault="004E751A">
      <w:pPr>
        <w:ind w:left="-5" w:right="0"/>
      </w:pPr>
      <w:r>
        <w:t>O processo encontra-se em condições de julgamento imediato, nos termos do artigo 355, inciso I, do Código de Processo Civil, uma vez que a matéria controvertida é predominantemente de direito e os documentos juntados são suficientes para o esclarecimento dos fatos.</w:t>
      </w:r>
    </w:p>
    <w:p w14:paraId="36F7B91E" w14:textId="77777777" w:rsidR="00B330F0" w:rsidRDefault="004E751A">
      <w:pPr>
        <w:spacing w:after="230"/>
        <w:ind w:left="-5" w:right="0"/>
      </w:pPr>
      <w:r>
        <w:rPr>
          <w:b/>
        </w:rPr>
        <w:t>II.1. Das Questões Preliminares</w:t>
      </w:r>
      <w:r>
        <w:t xml:space="preserve"> </w:t>
      </w:r>
    </w:p>
    <w:p w14:paraId="58857802" w14:textId="77777777" w:rsidR="00B330F0" w:rsidRDefault="004E751A">
      <w:pPr>
        <w:pStyle w:val="Ttulo2"/>
        <w:ind w:left="-5"/>
      </w:pPr>
      <w:r>
        <w:rPr>
          <w:rFonts w:ascii="Segoe UI Symbol" w:eastAsia="Segoe UI Symbol" w:hAnsi="Segoe UI Symbol" w:cs="Segoe UI Symbol"/>
          <w:b w:val="0"/>
          <w:i w:val="0"/>
          <w:sz w:val="20"/>
        </w:rPr>
        <w:t>•</w:t>
      </w:r>
      <w:r>
        <w:rPr>
          <w:b w:val="0"/>
          <w:i w:val="0"/>
          <w:sz w:val="14"/>
        </w:rPr>
        <w:t xml:space="preserve">                </w:t>
      </w:r>
      <w:r>
        <w:t>Da Inépcia do Pedido Inibitório</w:t>
      </w:r>
      <w:r>
        <w:rPr>
          <w:b w:val="0"/>
          <w:i w:val="0"/>
        </w:rPr>
        <w:t xml:space="preserve"> </w:t>
      </w:r>
    </w:p>
    <w:p w14:paraId="1359C2D7" w14:textId="77777777" w:rsidR="00B330F0" w:rsidRDefault="004E751A">
      <w:pPr>
        <w:ind w:left="-5" w:right="0"/>
      </w:pPr>
      <w:r>
        <w:t>O Município alega que o pedido para que se abstenha de realizar "qualquer evento com execução de músicas" no futuro sem prévio licenciamento é genérico e indeterminado.</w:t>
      </w:r>
    </w:p>
    <w:p w14:paraId="75946AF9" w14:textId="77777777" w:rsidR="00B330F0" w:rsidRDefault="004E751A">
      <w:pPr>
        <w:ind w:left="-5" w:right="0"/>
      </w:pPr>
      <w:r>
        <w:t xml:space="preserve">A alegação não merece prosperar. O pedido formulado pelo autor tem fundamento no </w:t>
      </w:r>
      <w:r>
        <w:rPr>
          <w:b/>
        </w:rPr>
        <w:t>artigo 105 da Lei nº 9.610/98</w:t>
      </w:r>
      <w:r>
        <w:t>, que prevê a possibilidade de o titular do direito autoral violado requerer a suspensão ou interrupção da utilização da obra. Trata-se de uma tutela inibitória, de natureza preventiva, que visa impedir a prática, a reiteração ou a continuação de um ilícito.</w:t>
      </w:r>
    </w:p>
    <w:p w14:paraId="59D8CD7D" w14:textId="77777777" w:rsidR="00B330F0" w:rsidRDefault="004E751A">
      <w:pPr>
        <w:ind w:left="-5" w:right="0"/>
      </w:pPr>
      <w:r>
        <w:t>A causa de pedir está claramente delimitada: a realização sistemática de eventos musicais pelo réu sem a devida autorização. O pedido inibitório não é abstrato, mas diretamente ligado a essa conduta, buscando evitar sua repetição. Exigir que o autor ajuíze uma nova ação a cada evento futuro que o Município anuncie seria contrário à economia processual e esvaziaria a eficácia da tutela preventiva.</w:t>
      </w:r>
    </w:p>
    <w:p w14:paraId="6D5017FD" w14:textId="77777777" w:rsidR="00B330F0" w:rsidRDefault="004E751A">
      <w:pPr>
        <w:ind w:left="-5" w:right="0"/>
      </w:pPr>
      <w:r>
        <w:t xml:space="preserve">Portanto, o pedido é determinado e compatível com a natureza da demanda, não havendo inépcia a ser declarada. </w:t>
      </w:r>
      <w:r>
        <w:rPr>
          <w:b/>
        </w:rPr>
        <w:t>Rejeito a preliminar.</w:t>
      </w:r>
    </w:p>
    <w:p w14:paraId="34B52E1C" w14:textId="77777777" w:rsidR="00B330F0" w:rsidRDefault="004E751A">
      <w:pPr>
        <w:pStyle w:val="Ttulo2"/>
        <w:ind w:left="-5"/>
      </w:pPr>
      <w:r>
        <w:rPr>
          <w:rFonts w:ascii="Segoe UI Symbol" w:eastAsia="Segoe UI Symbol" w:hAnsi="Segoe UI Symbol" w:cs="Segoe UI Symbol"/>
          <w:b w:val="0"/>
          <w:i w:val="0"/>
          <w:sz w:val="20"/>
        </w:rPr>
        <w:t>•</w:t>
      </w:r>
      <w:r>
        <w:rPr>
          <w:b w:val="0"/>
          <w:i w:val="0"/>
          <w:sz w:val="14"/>
        </w:rPr>
        <w:t xml:space="preserve">                </w:t>
      </w:r>
      <w:r>
        <w:t>Da Ilegitimidade Ativa e da Falta de Interesse Processual</w:t>
      </w:r>
      <w:r>
        <w:rPr>
          <w:b w:val="0"/>
          <w:i w:val="0"/>
        </w:rPr>
        <w:t xml:space="preserve"> </w:t>
      </w:r>
    </w:p>
    <w:p w14:paraId="25B6C2E9" w14:textId="77777777" w:rsidR="00B330F0" w:rsidRDefault="004E751A">
      <w:pPr>
        <w:spacing w:after="240" w:line="238" w:lineRule="auto"/>
        <w:ind w:left="0" w:right="0" w:firstLine="0"/>
        <w:jc w:val="left"/>
      </w:pPr>
      <w:r>
        <w:t>O réu argumenta que o ECAD não teria legitimidade nem interesse para a causa por não ter individualizado as obras executadas nem comprovado a filiação dos titulares, conforme exigências que extrai do Decreto nº 9.574/2018.</w:t>
      </w:r>
    </w:p>
    <w:p w14:paraId="6F603D35" w14:textId="77777777" w:rsidR="00B330F0" w:rsidRDefault="004E751A">
      <w:pPr>
        <w:ind w:left="-5" w:right="0"/>
      </w:pPr>
      <w:r>
        <w:t xml:space="preserve">A legitimidade ativa do ECAD para a cobrança judicial de direitos autorais é expressamente conferida pelo </w:t>
      </w:r>
      <w:r>
        <w:rPr>
          <w:b/>
        </w:rPr>
        <w:t>artigo 99, § 2º, da Lei nº 9.610/98</w:t>
      </w:r>
      <w:r>
        <w:t>, que o estabelece como substituto processual dos titulares de direitos a ele vinculados. O Superior Tribunal de Justiça, em entendimento sumulado (Súmula 259), já pacificou que "é dispensável a prova de filiação para que o ECAD tenha legitimidade para ajuizar ação de cobrança de direitos autorais".</w:t>
      </w:r>
    </w:p>
    <w:p w14:paraId="5A190EEA" w14:textId="77777777" w:rsidR="00B330F0" w:rsidRDefault="004E751A">
      <w:pPr>
        <w:ind w:left="-5" w:right="0"/>
      </w:pPr>
      <w:r>
        <w:t>Ademais, a jurisprudência também é pacífica no sentido de que, para a cobrança, é desnecessária a apresentação de uma lista detalhada de todas as músicas executadas, sob pena de inviabilizar a própria proteção autoral. Basta a comprovação da ocorrência do evento com execução musical pública, fato que, no caso, é incontroverso.</w:t>
      </w:r>
    </w:p>
    <w:p w14:paraId="0E5E202C" w14:textId="77777777" w:rsidR="00B330F0" w:rsidRDefault="004E751A">
      <w:pPr>
        <w:ind w:left="-5" w:right="0"/>
      </w:pPr>
      <w:r>
        <w:t>O interesse processual, por sua vez, manifesta-se na necessidade de buscar a tutela do Judiciário para obter o pagamento que não foi realizado extrajudicialmente, na adequação da via eleita e na utilidade do provimento. Todos os elementos estão presentes. A notificação extrajudicial (ID 208669425) demonstra a tentativa de solução amigável, sem sucesso, evidenciando a necessidade da ação.</w:t>
      </w:r>
    </w:p>
    <w:p w14:paraId="4C04E072" w14:textId="77777777" w:rsidR="00B330F0" w:rsidRDefault="004E751A">
      <w:pPr>
        <w:spacing w:after="230"/>
        <w:ind w:left="-5" w:right="0"/>
      </w:pPr>
      <w:r>
        <w:t xml:space="preserve">Dessa forma, </w:t>
      </w:r>
      <w:r>
        <w:rPr>
          <w:b/>
        </w:rPr>
        <w:t>rejeito a preliminar de ilegitimidade ativa e falta de interesse processual.</w:t>
      </w:r>
    </w:p>
    <w:p w14:paraId="7223528C" w14:textId="77777777" w:rsidR="00B330F0" w:rsidRDefault="004E751A">
      <w:pPr>
        <w:pStyle w:val="Ttulo2"/>
        <w:ind w:left="-5"/>
      </w:pPr>
      <w:r>
        <w:rPr>
          <w:rFonts w:ascii="Segoe UI Symbol" w:eastAsia="Segoe UI Symbol" w:hAnsi="Segoe UI Symbol" w:cs="Segoe UI Symbol"/>
          <w:b w:val="0"/>
          <w:i w:val="0"/>
          <w:sz w:val="20"/>
        </w:rPr>
        <w:t>•</w:t>
      </w:r>
      <w:r>
        <w:rPr>
          <w:b w:val="0"/>
          <w:i w:val="0"/>
          <w:sz w:val="14"/>
        </w:rPr>
        <w:t xml:space="preserve">                </w:t>
      </w:r>
      <w:r>
        <w:t>Da Ilegitimidade Passiva do Município</w:t>
      </w:r>
      <w:r>
        <w:rPr>
          <w:b w:val="0"/>
          <w:i w:val="0"/>
        </w:rPr>
        <w:t xml:space="preserve"> </w:t>
      </w:r>
    </w:p>
    <w:p w14:paraId="5022BC98" w14:textId="77777777" w:rsidR="00B330F0" w:rsidRDefault="004E751A">
      <w:pPr>
        <w:ind w:left="-5" w:right="0"/>
      </w:pPr>
      <w:r>
        <w:t xml:space="preserve">Esta é a principal questão prejudicial. O Município alega não ser parte legítima para responder pela cobrança, atribuindo a responsabilidade às empresas terceirizadas que executaram os serviços artísticos. Fundamenta sua tese no </w:t>
      </w:r>
      <w:r>
        <w:rPr>
          <w:b/>
        </w:rPr>
        <w:t>artigo 121 da Lei nº 14.133/2021</w:t>
      </w:r>
      <w:r>
        <w:t>, que estabelece que "somente o contratado será responsável pelos encargos trabalhistas, previdenciários, fiscais e comerciais resultantes da execução do contrato".</w:t>
      </w:r>
    </w:p>
    <w:p w14:paraId="5FA9F719" w14:textId="77777777" w:rsidR="00B330F0" w:rsidRDefault="004E751A">
      <w:pPr>
        <w:spacing w:after="110"/>
        <w:ind w:left="-5" w:right="0"/>
      </w:pPr>
      <w:r>
        <w:t xml:space="preserve">Contudo, a Lei de Direitos Autorais (Lei nº 9.610/98), que é uma norma especial em relação à Lei de Licitações (norma geral), dispõe de forma diversa. O </w:t>
      </w:r>
      <w:r>
        <w:rPr>
          <w:b/>
        </w:rPr>
        <w:t>artigo 110</w:t>
      </w:r>
      <w:r>
        <w:t xml:space="preserve"> da referida lei estabelece a responsabilidade solidária entre os organizadores dos espetáculos e os proprietários, diretores, gerentes, empresários e arrendatários dos locais onde ocorrem as execuções públicas.</w:t>
      </w:r>
    </w:p>
    <w:p w14:paraId="167958CB" w14:textId="77777777" w:rsidR="00B330F0" w:rsidRDefault="004E751A">
      <w:pPr>
        <w:spacing w:after="110"/>
        <w:ind w:left="-5" w:right="0"/>
      </w:pPr>
      <w:r>
        <w:t xml:space="preserve">No caso dos autos, o Município de Garanhuns não é um mero espectador, mas o </w:t>
      </w:r>
      <w:r>
        <w:rPr>
          <w:b/>
        </w:rPr>
        <w:t>promotor e organizador central</w:t>
      </w:r>
      <w:r>
        <w:t xml:space="preserve"> dos eventos, conforme amplamente divulgado e admitido na própria contestação. Os editais de convocação de artistas (IDs 220198759, 220198760, 220198761, 220198762, 220198763, 220198764, 220198765, 220198766) são emitidos pela sua Secretaria de Cultura, demonstrando seu papel de organizador.</w:t>
      </w:r>
    </w:p>
    <w:p w14:paraId="48502E00" w14:textId="77777777" w:rsidR="00B330F0" w:rsidRDefault="004E751A">
      <w:pPr>
        <w:spacing w:after="110"/>
        <w:ind w:left="-5" w:right="0"/>
      </w:pPr>
      <w:r>
        <w:t xml:space="preserve">Ainda que os contratos administrativos, como o apresentado no ID 220198767, e os editais prevejam que os "encargos comerciais" são de responsabilidade do contratado, essa cláusula tem eficácia </w:t>
      </w:r>
      <w:r>
        <w:rPr>
          <w:i/>
        </w:rPr>
        <w:t>inter partes</w:t>
      </w:r>
      <w:r>
        <w:t xml:space="preserve"> (entre o Município e a empresa contratada), não podendo ser oposta a terceiros, como o ECAD, para afastar uma responsabilidade solidária prevista em lei especial.</w:t>
      </w:r>
    </w:p>
    <w:p w14:paraId="47019010" w14:textId="77777777" w:rsidR="00B330F0" w:rsidRDefault="004E751A">
      <w:pPr>
        <w:ind w:left="-5" w:right="0"/>
      </w:pPr>
      <w:r>
        <w:t xml:space="preserve">Ademais, a expressão "encargos comerciais" do artigo 121 da Lei de Licitações deve ser interpretada de forma restritiva. Ela se refere às obrigações negociais diretas do contratado (como pagamento de fornecedores), não abrangendo obrigações legais impostas a todos os envolvidos na cadeia de um evento, como é o caso dos direitos autorais. A lei autoral, ao prever a solidariedade, buscou justamente garantir a remuneração do autor, permitindo que a cobrança seja direcionada a qualquer um dos responsáveis pelo </w:t>
      </w:r>
      <w:r>
        <w:t>evento, incluindo o principal promotor.</w:t>
      </w:r>
    </w:p>
    <w:p w14:paraId="22009C64" w14:textId="77777777" w:rsidR="00B330F0" w:rsidRDefault="004E751A">
      <w:pPr>
        <w:ind w:left="-5" w:right="0"/>
      </w:pPr>
      <w:r>
        <w:t xml:space="preserve">Portanto, na qualidade de organizador dos eventos, o Município de Garanhuns é parte legítima para figurar no polo passivo da demanda, em razão da responsabilidade solidária que lhe é atribuída por lei especial. </w:t>
      </w:r>
      <w:r>
        <w:rPr>
          <w:b/>
        </w:rPr>
        <w:t>Rejeito a preliminar de ilegitimidade passiva.</w:t>
      </w:r>
    </w:p>
    <w:p w14:paraId="0C7C755C" w14:textId="77777777" w:rsidR="00B330F0" w:rsidRDefault="004E751A">
      <w:pPr>
        <w:spacing w:after="230"/>
        <w:ind w:left="-5" w:right="0"/>
      </w:pPr>
      <w:r>
        <w:rPr>
          <w:b/>
        </w:rPr>
        <w:t>II.2. Do Mérito</w:t>
      </w:r>
    </w:p>
    <w:p w14:paraId="1DAEF369" w14:textId="77777777" w:rsidR="00B330F0" w:rsidRDefault="004E751A">
      <w:pPr>
        <w:ind w:left="-5" w:right="0"/>
      </w:pPr>
      <w:r>
        <w:t>Superadas as preliminares, passo à análise do mérito da causa.</w:t>
      </w:r>
    </w:p>
    <w:p w14:paraId="5BBCC455" w14:textId="77777777" w:rsidR="00B330F0" w:rsidRDefault="004E751A">
      <w:pPr>
        <w:pStyle w:val="Ttulo2"/>
        <w:ind w:left="-5"/>
      </w:pPr>
      <w:r>
        <w:rPr>
          <w:rFonts w:ascii="Segoe UI Symbol" w:eastAsia="Segoe UI Symbol" w:hAnsi="Segoe UI Symbol" w:cs="Segoe UI Symbol"/>
          <w:b w:val="0"/>
          <w:i w:val="0"/>
          <w:sz w:val="20"/>
        </w:rPr>
        <w:t>•</w:t>
      </w:r>
      <w:r>
        <w:rPr>
          <w:b w:val="0"/>
          <w:i w:val="0"/>
          <w:sz w:val="14"/>
        </w:rPr>
        <w:t xml:space="preserve">                </w:t>
      </w:r>
      <w:r>
        <w:t>Da Obrigação de Pagar Direitos Autorais em Eventos Gratuitos Promovidos pelo Poder Público</w:t>
      </w:r>
    </w:p>
    <w:p w14:paraId="73C4CBC4" w14:textId="77777777" w:rsidR="00B330F0" w:rsidRDefault="004E751A">
      <w:pPr>
        <w:ind w:left="-5" w:right="0"/>
      </w:pPr>
      <w:r>
        <w:t>O Município argumenta que, por se tratar de eventos gratuitos, culturais e sem fins lucrativos, não haveria obrigação de pagar direitos autorais.</w:t>
      </w:r>
    </w:p>
    <w:p w14:paraId="5FCA04B4" w14:textId="77777777" w:rsidR="00B330F0" w:rsidRDefault="004E751A">
      <w:pPr>
        <w:ind w:left="-5" w:right="0"/>
      </w:pPr>
      <w:r>
        <w:t xml:space="preserve">Este argumento não se sustenta. O </w:t>
      </w:r>
      <w:r>
        <w:rPr>
          <w:b/>
        </w:rPr>
        <w:t>artigo 68 da Lei nº 9.610/98</w:t>
      </w:r>
      <w:r>
        <w:t xml:space="preserve"> condiciona a execução pública de composições musicais à "prévia e expressa autorização do autor ou titular". O parágrafo 3º do mesmo artigo define como "locais de frequência coletiva" uma vasta gama de espaços, incluindo "órgãos públicos da administração direta ou indireta". A lei não estabelece a finalidade lucrativa como requisito para a incidência da proteção autoral.</w:t>
      </w:r>
    </w:p>
    <w:p w14:paraId="642359CF" w14:textId="77777777" w:rsidR="00B330F0" w:rsidRDefault="004E751A">
      <w:pPr>
        <w:ind w:left="-5" w:right="0"/>
      </w:pPr>
      <w:r>
        <w:t>O que se protege é o direito do autor de ser remunerado pela utilização de sua criação. A gratuidade do evento para o público não elimina o fato de que a música foi utilizada como um atrativo essencial, beneficiando o promotor do evento, ainda que de forma indireta (promoção cultural, fomento ao turismo, ganho político). Permitir que o Poder Público utilize obras musicais sem contrapartida configuraria um enriquecimento sem causa da Administração em detrimento do trabalho intelectual dos artistas.</w:t>
      </w:r>
    </w:p>
    <w:p w14:paraId="3B395409" w14:textId="77777777" w:rsidR="00B330F0" w:rsidRDefault="004E751A">
      <w:pPr>
        <w:spacing w:after="230"/>
        <w:ind w:left="-5" w:right="0"/>
      </w:pPr>
      <w:r>
        <w:t xml:space="preserve">Portanto, </w:t>
      </w:r>
      <w:r>
        <w:rPr>
          <w:b/>
        </w:rPr>
        <w:t>é devido o pagamento de direitos autorais pela execução pública de músicas em eventos promovidos pelo Município, independentemente da gratuidade do acesso ao público ou da ausência de lucro direto.</w:t>
      </w:r>
    </w:p>
    <w:p w14:paraId="21599E16" w14:textId="77777777" w:rsidR="00B330F0" w:rsidRDefault="004E751A">
      <w:pPr>
        <w:pStyle w:val="Ttulo2"/>
        <w:ind w:left="-5"/>
      </w:pPr>
      <w:r>
        <w:rPr>
          <w:rFonts w:ascii="Segoe UI Symbol" w:eastAsia="Segoe UI Symbol" w:hAnsi="Segoe UI Symbol" w:cs="Segoe UI Symbol"/>
          <w:b w:val="0"/>
          <w:i w:val="0"/>
          <w:sz w:val="20"/>
        </w:rPr>
        <w:t>•</w:t>
      </w:r>
      <w:r>
        <w:rPr>
          <w:b w:val="0"/>
          <w:i w:val="0"/>
          <w:sz w:val="14"/>
        </w:rPr>
        <w:t xml:space="preserve">                </w:t>
      </w:r>
      <w:r>
        <w:t>Da Responsabilidade pelo Pagamento e da Base de Cálculo</w:t>
      </w:r>
    </w:p>
    <w:p w14:paraId="06126A0B" w14:textId="77777777" w:rsidR="00B330F0" w:rsidRDefault="004E751A">
      <w:pPr>
        <w:ind w:left="-5" w:right="0"/>
      </w:pPr>
      <w:r>
        <w:t xml:space="preserve">Conforme já analisado na preliminar de ilegitimidade, a responsabilidade do Município é </w:t>
      </w:r>
      <w:r>
        <w:rPr>
          <w:b/>
        </w:rPr>
        <w:t>solidária</w:t>
      </w:r>
      <w:r>
        <w:t xml:space="preserve"> com as empresas que eventualmente contratou para a produção dos shows, nos termos do artigo 110 da Lei nº 9.610/98. Isso significa que o ECAD pode cobrar a totalidade da dívida tanto do Município quanto dos contratados. A existência de cláusula contratual transferindo a obrigação ao contratado apenas confere ao Município o direito de regresso contra este, mas não o exime da responsabilidade perante o autor.</w:t>
      </w:r>
    </w:p>
    <w:p w14:paraId="0B7AD661" w14:textId="77777777" w:rsidR="00B330F0" w:rsidRDefault="004E751A">
      <w:pPr>
        <w:spacing w:after="110"/>
        <w:ind w:left="-5" w:right="0"/>
      </w:pPr>
      <w:r>
        <w:t>Quanto à base de cálculo, o ECAD pleiteia o percentual de 10% sobre o custo musical dos eventos (cachês, som, palco, iluminação), com base em seu Regulamento de Arrecadação (ID 208668988).</w:t>
      </w:r>
    </w:p>
    <w:p w14:paraId="027F0B6D" w14:textId="77777777" w:rsidR="00B330F0" w:rsidRDefault="004E751A">
      <w:pPr>
        <w:spacing w:after="110"/>
        <w:ind w:left="-5" w:right="0"/>
      </w:pPr>
      <w:r>
        <w:t xml:space="preserve">O Regulamento de Arrecadação do ECAD, elaborado e aprovado pelas associações que o integram, é o instrumento que estabelece os critérios de cobrança. O artigo 11, § 1º, do referido regulamento (ID 208668988, p. 9) prevê que, para espetáculos em logradouros públicos sem venda de ingresso, o preço será definido com base no percentual sobre o custo musical. A tabela de preços para "Espetáculos musicais, shows, bailes ou festas dançantes" (ID 208668988, p. 37) estabelece o percentual de </w:t>
      </w:r>
      <w:r>
        <w:rPr>
          <w:b/>
        </w:rPr>
        <w:t>10% para música ao vivo</w:t>
      </w:r>
      <w:r>
        <w:t xml:space="preserve"> e 15% para música mecânica.</w:t>
      </w:r>
    </w:p>
    <w:p w14:paraId="5EE61350" w14:textId="77777777" w:rsidR="00B330F0" w:rsidRDefault="004E751A">
      <w:pPr>
        <w:ind w:left="-5" w:right="0"/>
      </w:pPr>
      <w:r>
        <w:t xml:space="preserve">Considerando que os eventos promovidos pelo réu contaram com apresentações de artistas e bandas ao vivo, o percentual aplicável é de </w:t>
      </w:r>
      <w:r>
        <w:rPr>
          <w:b/>
        </w:rPr>
        <w:t>10% (dez por cento)</w:t>
      </w:r>
      <w:r>
        <w:t>, que corresponde a uma redução de 1/3 prevista no artigo 20 do Regulamento (ID 208668988, p. 14) pela ausência de direitos conexos de fonograma.</w:t>
      </w:r>
    </w:p>
    <w:p w14:paraId="3B7FBF2E" w14:textId="77777777" w:rsidR="00B330F0" w:rsidRDefault="004E751A">
      <w:pPr>
        <w:ind w:left="-5" w:right="0"/>
      </w:pPr>
      <w:r>
        <w:t>Este critério é amplamente aceito pela jurisprudência como razoável e proporcional, não havendo que se falar em enriquecimento ilícito, pois incide apenas sobre os custos diretamente ligados à parte musical do evento, e não sobre todo o orçamento. A alegação do Município de que o percentual incidiria sobre despesas como segurança e limpeza não procede, pois o pedido e o regulamento do autor são claros ao limitar a base de cálculo ao "custo musical".</w:t>
      </w:r>
    </w:p>
    <w:p w14:paraId="2ED60D65" w14:textId="77777777" w:rsidR="00B330F0" w:rsidRDefault="004E751A">
      <w:pPr>
        <w:spacing w:after="120"/>
        <w:ind w:left="-5" w:right="0"/>
      </w:pPr>
      <w:r>
        <w:t xml:space="preserve">Dessa forma, </w:t>
      </w:r>
      <w:r>
        <w:rPr>
          <w:b/>
        </w:rPr>
        <w:t>reconheço como devida a retribuição autoral no percentual de 10% (dez por cento) sobre o custo musical de cada um dos eventos listados na petição inicial.</w:t>
      </w:r>
    </w:p>
    <w:p w14:paraId="64CCB2AE" w14:textId="77777777" w:rsidR="00B330F0" w:rsidRDefault="004E751A">
      <w:pPr>
        <w:pStyle w:val="Ttulo2"/>
        <w:spacing w:after="98"/>
        <w:ind w:left="-5"/>
      </w:pPr>
      <w:r>
        <w:rPr>
          <w:rFonts w:ascii="Segoe UI Symbol" w:eastAsia="Segoe UI Symbol" w:hAnsi="Segoe UI Symbol" w:cs="Segoe UI Symbol"/>
          <w:b w:val="0"/>
          <w:i w:val="0"/>
          <w:sz w:val="20"/>
        </w:rPr>
        <w:t>•</w:t>
      </w:r>
      <w:r>
        <w:rPr>
          <w:b w:val="0"/>
          <w:i w:val="0"/>
          <w:sz w:val="14"/>
        </w:rPr>
        <w:t xml:space="preserve">                </w:t>
      </w:r>
      <w:r>
        <w:t>Da Necessidade de Exibição dos Contratos</w:t>
      </w:r>
    </w:p>
    <w:p w14:paraId="1BEFB8FF" w14:textId="77777777" w:rsidR="00B330F0" w:rsidRDefault="004E751A">
      <w:pPr>
        <w:ind w:left="-5" w:right="0"/>
      </w:pPr>
      <w:r>
        <w:t>Para viabilizar o cálculo do valor devido, o autor formulou pedido de exibição dos contratos firmados com as atrações musicais e empresas de sonorização e estrutura de palco. O Município, em sua contestação, não apresentou a integralidade dos documentos, alegando dificuldades da máquina pública (ID 220198758, p. 16-17).</w:t>
      </w:r>
    </w:p>
    <w:p w14:paraId="5698C4CF" w14:textId="77777777" w:rsidR="00B330F0" w:rsidRDefault="004E751A">
      <w:pPr>
        <w:ind w:left="-5" w:right="0"/>
      </w:pPr>
      <w:r>
        <w:t xml:space="preserve">O pedido de exibição é legítimo e necessário. A obrigação de exibir decorre do princípio da transparência, que rege a Administração Pública, e da necessidade de apurar o </w:t>
      </w:r>
      <w:r>
        <w:rPr>
          <w:i/>
        </w:rPr>
        <w:t>quantum debeatur</w:t>
      </w:r>
      <w:r>
        <w:t>. A recusa ou omissão em apresentar os documentos atrai a consequência prevista no artigo 400 do CPC: a presunção de veracidade dos fatos que a parte autora pretendia provar por meio deles, qual seja, o custo musical dos eventos.</w:t>
      </w:r>
    </w:p>
    <w:p w14:paraId="3DC31F8D" w14:textId="77777777" w:rsidR="00B330F0" w:rsidRDefault="004E751A">
      <w:pPr>
        <w:ind w:left="-5" w:right="0"/>
      </w:pPr>
      <w:r>
        <w:t xml:space="preserve">Contudo, para garantir a justiça da decisão e a exatidão do valor a ser executado, a apuração do montante devido deverá ser feita em fase de </w:t>
      </w:r>
      <w:r>
        <w:rPr>
          <w:b/>
        </w:rPr>
        <w:t>liquidação de sentença</w:t>
      </w:r>
      <w:r>
        <w:t>. Nessa fase, o Município deverá ser novamente intimado a apresentar, de forma completa, todos os contratos e notas de empenho relativos aos custos musicais (cachês, som, palco, iluminação) de todos os eventos listados na inicial, sob pena de apuração do valor por outros meios, inclusive por arbitramento, com base em estimativas de mercado.</w:t>
      </w:r>
    </w:p>
    <w:p w14:paraId="019E42B6" w14:textId="77777777" w:rsidR="00B330F0" w:rsidRDefault="004E751A">
      <w:pPr>
        <w:pStyle w:val="Ttulo1"/>
        <w:ind w:left="385" w:right="0" w:hanging="400"/>
      </w:pPr>
      <w:r>
        <w:t>DISPOSITIVO</w:t>
      </w:r>
    </w:p>
    <w:p w14:paraId="2F71F578" w14:textId="77777777" w:rsidR="00B330F0" w:rsidRDefault="004E751A">
      <w:pPr>
        <w:spacing w:after="230"/>
        <w:ind w:left="-5" w:right="0"/>
      </w:pPr>
      <w:r>
        <w:t xml:space="preserve">Ante o exposto, </w:t>
      </w:r>
      <w:r>
        <w:rPr>
          <w:b/>
        </w:rPr>
        <w:t>JULGO PROCEDENTES EM PARTE</w:t>
      </w:r>
      <w:r>
        <w:t xml:space="preserve"> os pedidos formulados pelo </w:t>
      </w:r>
      <w:r>
        <w:rPr>
          <w:b/>
        </w:rPr>
        <w:t>ESCRITÓRIO CENTRAL DE ARRECADAÇÃO E DISTRIBUIÇÃO - ECAD</w:t>
      </w:r>
      <w:r>
        <w:t xml:space="preserve"> em face do </w:t>
      </w:r>
      <w:r>
        <w:rPr>
          <w:b/>
        </w:rPr>
        <w:t>MUNICÍPIO DE GARANHUNS</w:t>
      </w:r>
      <w:r>
        <w:t>, para:</w:t>
      </w:r>
    </w:p>
    <w:p w14:paraId="41E2BCA9" w14:textId="77777777" w:rsidR="00B330F0" w:rsidRDefault="004E751A">
      <w:pPr>
        <w:spacing w:after="120"/>
        <w:ind w:left="-5" w:right="0"/>
      </w:pPr>
      <w:r>
        <w:t>1.</w:t>
      </w:r>
      <w:r>
        <w:rPr>
          <w:sz w:val="14"/>
        </w:rPr>
        <w:t xml:space="preserve">                  </w:t>
      </w:r>
      <w:r>
        <w:rPr>
          <w:b/>
        </w:rPr>
        <w:t>CONDENAR</w:t>
      </w:r>
      <w:r>
        <w:t xml:space="preserve"> o Município de Garanhuns ao pagamento dos direitos autorais referentes aos eventos listados na petição inicial (ID 208668983, p. 2-3), no valor correspondente a </w:t>
      </w:r>
      <w:r>
        <w:rPr>
          <w:b/>
        </w:rPr>
        <w:t>10% (dez por cento) do custo musical total</w:t>
      </w:r>
      <w:r>
        <w:t xml:space="preserve"> (cachês de artistas, despesas com equipamentos de som, iluminação e palco) de cada evento.</w:t>
      </w:r>
    </w:p>
    <w:p w14:paraId="326C69FD" w14:textId="77777777" w:rsidR="00B330F0" w:rsidRDefault="004E751A">
      <w:pPr>
        <w:numPr>
          <w:ilvl w:val="0"/>
          <w:numId w:val="3"/>
        </w:numPr>
        <w:spacing w:after="120"/>
        <w:ind w:right="0"/>
      </w:pPr>
      <w:r>
        <w:t xml:space="preserve">O montante exato deverá ser apurado em fase de </w:t>
      </w:r>
      <w:r>
        <w:rPr>
          <w:b/>
        </w:rPr>
        <w:t>liquidação de sentença</w:t>
      </w:r>
      <w:r>
        <w:t>, momento em que o Município deverá apresentar todos os contratos e comprovantes de despesas pertinentes, sob as penas da lei.</w:t>
      </w:r>
    </w:p>
    <w:p w14:paraId="042ACED4" w14:textId="77777777" w:rsidR="00B330F0" w:rsidRDefault="004E751A">
      <w:pPr>
        <w:numPr>
          <w:ilvl w:val="0"/>
          <w:numId w:val="3"/>
        </w:numPr>
        <w:spacing w:after="113"/>
        <w:ind w:right="0"/>
      </w:pPr>
      <w:r>
        <w:t>Sobre os valores apurados deverão ser atualizados monetariamente pela taxa Selic a contar da data da citação (05/09/2025).</w:t>
      </w:r>
    </w:p>
    <w:p w14:paraId="794D4C2A" w14:textId="77777777" w:rsidR="00B330F0" w:rsidRDefault="004E751A">
      <w:pPr>
        <w:spacing w:after="109"/>
        <w:ind w:left="-5" w:right="0"/>
      </w:pPr>
      <w:r>
        <w:t>2.</w:t>
      </w:r>
      <w:r>
        <w:rPr>
          <w:sz w:val="14"/>
        </w:rPr>
        <w:t xml:space="preserve">                  </w:t>
      </w:r>
      <w:r>
        <w:rPr>
          <w:b/>
        </w:rPr>
        <w:t>DETERMINAR</w:t>
      </w:r>
      <w:r>
        <w:t xml:space="preserve"> que o Município de Garanhuns, em futuros eventos que promover, obtenha a </w:t>
      </w:r>
      <w:r>
        <w:rPr>
          <w:b/>
        </w:rPr>
        <w:t>prévia e expressa licença do ECAD</w:t>
      </w:r>
      <w:r>
        <w:t xml:space="preserve"> para a execução pública de obras musicais, sob pena de multa no valor de </w:t>
      </w:r>
      <w:r>
        <w:rPr>
          <w:b/>
        </w:rPr>
        <w:t>R$ 20.000,00 (vinte mil reais)</w:t>
      </w:r>
      <w:r>
        <w:t xml:space="preserve"> por cada evento realizado em desacordo com esta determinação, sem prejuízo da cobrança dos respectivos direitos autorais.</w:t>
      </w:r>
    </w:p>
    <w:p w14:paraId="256FED75" w14:textId="77777777" w:rsidR="00B330F0" w:rsidRDefault="004E751A">
      <w:pPr>
        <w:ind w:left="-5" w:right="0"/>
      </w:pPr>
      <w:r>
        <w:t xml:space="preserve">Diante da sucumbência mínima do autor, condeno o Município de Garanhuns ao pagamento dos honorários advocatícios, que fixo em </w:t>
      </w:r>
      <w:r>
        <w:rPr>
          <w:b/>
        </w:rPr>
        <w:t>10% (dez por cento) sobre o valor total da condenação</w:t>
      </w:r>
      <w:r>
        <w:t>, a ser apurado em liquidação de sentença, nos termos do artigo 85, § 3º, inciso I, do CPC.</w:t>
      </w:r>
    </w:p>
    <w:p w14:paraId="51F56144" w14:textId="77777777" w:rsidR="00B330F0" w:rsidRDefault="004E751A">
      <w:pPr>
        <w:ind w:left="-5" w:right="0"/>
      </w:pPr>
      <w:r>
        <w:t>Condeno o Município de Garanhuns ao pagamento das custas processuais.</w:t>
      </w:r>
    </w:p>
    <w:p w14:paraId="4DA15DA5" w14:textId="77777777" w:rsidR="00B330F0" w:rsidRDefault="004E751A">
      <w:pPr>
        <w:ind w:left="-5" w:right="0"/>
      </w:pPr>
      <w:r>
        <w:t>Sentença sujeita ao reexame necessário, nos termos do artigo 496, I, do Código de Processo Civil.</w:t>
      </w:r>
    </w:p>
    <w:p w14:paraId="42926B04" w14:textId="77777777" w:rsidR="00B330F0" w:rsidRDefault="004E751A">
      <w:pPr>
        <w:spacing w:after="268"/>
        <w:ind w:left="-5" w:right="0"/>
      </w:pPr>
      <w:r>
        <w:t>Publique-se. Registre-se. Intimem-se.</w:t>
      </w:r>
    </w:p>
    <w:p w14:paraId="06205DC3" w14:textId="77777777" w:rsidR="00B330F0" w:rsidRDefault="004E751A">
      <w:pPr>
        <w:spacing w:after="268"/>
        <w:ind w:left="-5" w:right="0"/>
      </w:pPr>
      <w:r>
        <w:t>Interposto recurso, intime-se a parte recorrida para contra-arrazoar o recurso no prazo legal.</w:t>
      </w:r>
    </w:p>
    <w:p w14:paraId="22B9A522" w14:textId="77777777" w:rsidR="00B330F0" w:rsidRDefault="004E751A">
      <w:pPr>
        <w:ind w:left="-5" w:right="0"/>
      </w:pPr>
      <w:r>
        <w:t>Após, remetam-se os autos ao Egrégio TJPE, com as nossas homenagens.</w:t>
      </w:r>
    </w:p>
    <w:p w14:paraId="4700D208" w14:textId="77777777" w:rsidR="00B330F0" w:rsidRDefault="004E751A">
      <w:pPr>
        <w:ind w:left="-5" w:right="0"/>
      </w:pPr>
      <w:r>
        <w:t>Com o retorno dos autos, voltem-me conclusos.</w:t>
      </w:r>
    </w:p>
    <w:p w14:paraId="05865E18" w14:textId="77777777" w:rsidR="00B330F0" w:rsidRDefault="004E751A">
      <w:pPr>
        <w:ind w:left="-5" w:right="0"/>
      </w:pPr>
      <w:r>
        <w:t>Garanhuns/PE, 02 de abril de 2026.</w:t>
      </w:r>
    </w:p>
    <w:p w14:paraId="0ED46263" w14:textId="77777777" w:rsidR="00B330F0" w:rsidRDefault="004E751A">
      <w:pPr>
        <w:spacing w:after="216" w:line="259" w:lineRule="auto"/>
        <w:ind w:left="0" w:right="0" w:firstLine="0"/>
        <w:jc w:val="left"/>
      </w:pPr>
      <w:r>
        <w:t xml:space="preserve"> </w:t>
      </w:r>
    </w:p>
    <w:p w14:paraId="04CF3521" w14:textId="77777777" w:rsidR="00B330F0" w:rsidRDefault="004E751A">
      <w:pPr>
        <w:ind w:left="-5" w:right="0"/>
      </w:pPr>
      <w:r>
        <w:t>GLACIDELSON ANTONIO DA SILVA</w:t>
      </w:r>
    </w:p>
    <w:p w14:paraId="1C35D934" w14:textId="77777777" w:rsidR="00B330F0" w:rsidRDefault="004E751A">
      <w:pPr>
        <w:spacing w:after="0" w:line="259" w:lineRule="auto"/>
        <w:ind w:left="0" w:right="0" w:firstLine="0"/>
        <w:jc w:val="left"/>
      </w:pPr>
      <w:r>
        <w:rPr>
          <w:sz w:val="22"/>
        </w:rPr>
        <w:t xml:space="preserve">        Juiz de Direito</w:t>
      </w:r>
    </w:p>
    <w:sectPr w:rsidR="00B330F0">
      <w:footerReference w:type="even" r:id="rId13"/>
      <w:footerReference w:type="default" r:id="rId14"/>
      <w:footerReference w:type="first" r:id="rId15"/>
      <w:pgSz w:w="11900" w:h="18240"/>
      <w:pgMar w:top="881" w:right="719" w:bottom="2359" w:left="720" w:header="72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671B" w14:textId="77777777" w:rsidR="004E751A" w:rsidRDefault="004E751A">
      <w:pPr>
        <w:spacing w:after="0" w:line="240" w:lineRule="auto"/>
      </w:pPr>
      <w:r>
        <w:separator/>
      </w:r>
    </w:p>
  </w:endnote>
  <w:endnote w:type="continuationSeparator" w:id="0">
    <w:p w14:paraId="4D0287FB" w14:textId="77777777" w:rsidR="004E751A" w:rsidRDefault="004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5779" w14:textId="77777777" w:rsidR="00B330F0" w:rsidRDefault="00B330F0">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5F16" w14:textId="77777777" w:rsidR="00B330F0" w:rsidRDefault="00B330F0">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0D79" w14:textId="77777777" w:rsidR="00B330F0" w:rsidRDefault="00B330F0">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7E49" w14:textId="77777777" w:rsidR="00B330F0" w:rsidRDefault="004E751A">
    <w:pPr>
      <w:spacing w:after="0" w:line="298" w:lineRule="auto"/>
      <w:ind w:left="680" w:right="4373" w:firstLine="0"/>
      <w:jc w:val="left"/>
    </w:pPr>
    <w:r>
      <w:rPr>
        <w:noProof/>
      </w:rPr>
      <w:drawing>
        <wp:anchor distT="0" distB="0" distL="114300" distR="114300" simplePos="0" relativeHeight="251658240" behindDoc="0" locked="0" layoutInCell="1" allowOverlap="0" wp14:anchorId="09B479B3" wp14:editId="6BAD75A8">
          <wp:simplePos x="0" y="0"/>
          <wp:positionH relativeFrom="page">
            <wp:posOffset>0</wp:posOffset>
          </wp:positionH>
          <wp:positionV relativeFrom="page">
            <wp:posOffset>10566400</wp:posOffset>
          </wp:positionV>
          <wp:extent cx="914400" cy="957072"/>
          <wp:effectExtent l="0" t="0" r="0" b="0"/>
          <wp:wrapSquare wrapText="bothSides"/>
          <wp:docPr id="5523" name="Picture 5523"/>
          <wp:cNvGraphicFramePr/>
          <a:graphic xmlns:a="http://schemas.openxmlformats.org/drawingml/2006/main">
            <a:graphicData uri="http://schemas.openxmlformats.org/drawingml/2006/picture">
              <pic:pic xmlns:pic="http://schemas.openxmlformats.org/drawingml/2006/picture">
                <pic:nvPicPr>
                  <pic:cNvPr id="5523" name="Picture 5523"/>
                  <pic:cNvPicPr/>
                </pic:nvPicPr>
                <pic:blipFill>
                  <a:blip r:embed="rId1"/>
                  <a:stretch>
                    <a:fillRect/>
                  </a:stretch>
                </pic:blipFill>
                <pic:spPr>
                  <a:xfrm>
                    <a:off x="0" y="0"/>
                    <a:ext cx="914400" cy="957072"/>
                  </a:xfrm>
                  <a:prstGeom prst="rect">
                    <a:avLst/>
                  </a:prstGeom>
                </pic:spPr>
              </pic:pic>
            </a:graphicData>
          </a:graphic>
        </wp:anchor>
      </w:drawing>
    </w:r>
    <w:r>
      <w:rPr>
        <w:rFonts w:ascii="Arial" w:eastAsia="Arial" w:hAnsi="Arial" w:cs="Arial"/>
        <w:sz w:val="14"/>
      </w:rPr>
      <w:t>Este documento foi gerado pelo usuário 892.***.***-87 em 06/04/2026 14:40:14 Número do documento: 26040206360006100000229191770</w:t>
    </w:r>
  </w:p>
  <w:p w14:paraId="49B898D3" w14:textId="77777777" w:rsidR="00B330F0" w:rsidRDefault="004E751A">
    <w:pPr>
      <w:spacing w:after="0" w:line="298" w:lineRule="auto"/>
      <w:ind w:left="680" w:right="1801" w:firstLine="0"/>
      <w:jc w:val="left"/>
    </w:pPr>
    <w:r>
      <w:rPr>
        <w:rFonts w:ascii="Arial" w:eastAsia="Arial" w:hAnsi="Arial" w:cs="Arial"/>
        <w:sz w:val="14"/>
      </w:rPr>
      <w:t>https://pje.cloud.tjpe.jus.br:443/1g/Processo/ConsultaDocumento/listView.seam?x=26040206360006100000229191770 Assinado eletronicamente por: GLACIDELSON ANTONIO DA SILVA - 02/04/2026 06:36:00</w:t>
    </w:r>
  </w:p>
  <w:p w14:paraId="49CBBC7B" w14:textId="77777777" w:rsidR="00B330F0" w:rsidRDefault="004E751A">
    <w:pPr>
      <w:spacing w:after="0" w:line="259" w:lineRule="auto"/>
      <w:ind w:left="0" w:right="-649" w:firstLine="0"/>
      <w:jc w:val="right"/>
    </w:pPr>
    <w:r>
      <w:rPr>
        <w:rFonts w:ascii="Arial" w:eastAsia="Arial" w:hAnsi="Arial" w:cs="Arial"/>
        <w:sz w:val="18"/>
      </w:rPr>
      <w:t xml:space="preserve">Num. 235638034 - Pág.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544F" w14:textId="77777777" w:rsidR="00B330F0" w:rsidRDefault="004E751A">
    <w:pPr>
      <w:spacing w:after="0" w:line="298" w:lineRule="auto"/>
      <w:ind w:left="680" w:right="4373" w:firstLine="0"/>
      <w:jc w:val="left"/>
    </w:pPr>
    <w:r>
      <w:rPr>
        <w:noProof/>
      </w:rPr>
      <w:drawing>
        <wp:anchor distT="0" distB="0" distL="114300" distR="114300" simplePos="0" relativeHeight="251659264" behindDoc="0" locked="0" layoutInCell="1" allowOverlap="0" wp14:anchorId="78879F9F" wp14:editId="06037EB1">
          <wp:simplePos x="0" y="0"/>
          <wp:positionH relativeFrom="page">
            <wp:posOffset>0</wp:posOffset>
          </wp:positionH>
          <wp:positionV relativeFrom="page">
            <wp:posOffset>10566400</wp:posOffset>
          </wp:positionV>
          <wp:extent cx="914400" cy="957072"/>
          <wp:effectExtent l="0" t="0" r="0" b="0"/>
          <wp:wrapSquare wrapText="bothSides"/>
          <wp:docPr id="1611759377" name="Picture 5523"/>
          <wp:cNvGraphicFramePr/>
          <a:graphic xmlns:a="http://schemas.openxmlformats.org/drawingml/2006/main">
            <a:graphicData uri="http://schemas.openxmlformats.org/drawingml/2006/picture">
              <pic:pic xmlns:pic="http://schemas.openxmlformats.org/drawingml/2006/picture">
                <pic:nvPicPr>
                  <pic:cNvPr id="5523" name="Picture 5523"/>
                  <pic:cNvPicPr/>
                </pic:nvPicPr>
                <pic:blipFill>
                  <a:blip r:embed="rId1"/>
                  <a:stretch>
                    <a:fillRect/>
                  </a:stretch>
                </pic:blipFill>
                <pic:spPr>
                  <a:xfrm>
                    <a:off x="0" y="0"/>
                    <a:ext cx="914400" cy="957072"/>
                  </a:xfrm>
                  <a:prstGeom prst="rect">
                    <a:avLst/>
                  </a:prstGeom>
                </pic:spPr>
              </pic:pic>
            </a:graphicData>
          </a:graphic>
        </wp:anchor>
      </w:drawing>
    </w:r>
    <w:r>
      <w:rPr>
        <w:rFonts w:ascii="Arial" w:eastAsia="Arial" w:hAnsi="Arial" w:cs="Arial"/>
        <w:sz w:val="14"/>
      </w:rPr>
      <w:t>Este documento foi gerado pelo usuário 892.***.***-87 em 06/04/2026 14:40:14 Número do documento: 26040206360006100000229191770</w:t>
    </w:r>
  </w:p>
  <w:p w14:paraId="58963E81" w14:textId="77777777" w:rsidR="00B330F0" w:rsidRDefault="004E751A">
    <w:pPr>
      <w:spacing w:after="0" w:line="298" w:lineRule="auto"/>
      <w:ind w:left="680" w:right="1801" w:firstLine="0"/>
      <w:jc w:val="left"/>
    </w:pPr>
    <w:r>
      <w:rPr>
        <w:rFonts w:ascii="Arial" w:eastAsia="Arial" w:hAnsi="Arial" w:cs="Arial"/>
        <w:sz w:val="14"/>
      </w:rPr>
      <w:t>https://pje.cloud.tjpe.jus.br:443/1g/Processo/ConsultaDocumento/listView.seam?x=26040206360006100000229191770 Assinado eletronicamente por: GLACIDELSON ANTONIO DA SILVA - 02/04/2026 06:36:00</w:t>
    </w:r>
  </w:p>
  <w:p w14:paraId="16E8B29B" w14:textId="77777777" w:rsidR="00B330F0" w:rsidRDefault="004E751A">
    <w:pPr>
      <w:spacing w:after="0" w:line="259" w:lineRule="auto"/>
      <w:ind w:left="0" w:right="-649" w:firstLine="0"/>
      <w:jc w:val="right"/>
    </w:pPr>
    <w:r>
      <w:rPr>
        <w:rFonts w:ascii="Arial" w:eastAsia="Arial" w:hAnsi="Arial" w:cs="Arial"/>
        <w:sz w:val="18"/>
      </w:rPr>
      <w:t xml:space="preserve">Num. 235638034 - Pág.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BD43" w14:textId="77777777" w:rsidR="00B330F0" w:rsidRDefault="004E751A">
    <w:pPr>
      <w:spacing w:after="0" w:line="298" w:lineRule="auto"/>
      <w:ind w:left="680" w:right="4373" w:firstLine="0"/>
      <w:jc w:val="left"/>
    </w:pPr>
    <w:r>
      <w:rPr>
        <w:noProof/>
      </w:rPr>
      <w:drawing>
        <wp:anchor distT="0" distB="0" distL="114300" distR="114300" simplePos="0" relativeHeight="251660288" behindDoc="0" locked="0" layoutInCell="1" allowOverlap="0" wp14:anchorId="4F1FFD61" wp14:editId="19484B1B">
          <wp:simplePos x="0" y="0"/>
          <wp:positionH relativeFrom="page">
            <wp:posOffset>0</wp:posOffset>
          </wp:positionH>
          <wp:positionV relativeFrom="page">
            <wp:posOffset>10566400</wp:posOffset>
          </wp:positionV>
          <wp:extent cx="914400" cy="957072"/>
          <wp:effectExtent l="0" t="0" r="0" b="0"/>
          <wp:wrapSquare wrapText="bothSides"/>
          <wp:docPr id="1525493726" name="Picture 5523"/>
          <wp:cNvGraphicFramePr/>
          <a:graphic xmlns:a="http://schemas.openxmlformats.org/drawingml/2006/main">
            <a:graphicData uri="http://schemas.openxmlformats.org/drawingml/2006/picture">
              <pic:pic xmlns:pic="http://schemas.openxmlformats.org/drawingml/2006/picture">
                <pic:nvPicPr>
                  <pic:cNvPr id="5523" name="Picture 5523"/>
                  <pic:cNvPicPr/>
                </pic:nvPicPr>
                <pic:blipFill>
                  <a:blip r:embed="rId1"/>
                  <a:stretch>
                    <a:fillRect/>
                  </a:stretch>
                </pic:blipFill>
                <pic:spPr>
                  <a:xfrm>
                    <a:off x="0" y="0"/>
                    <a:ext cx="914400" cy="957072"/>
                  </a:xfrm>
                  <a:prstGeom prst="rect">
                    <a:avLst/>
                  </a:prstGeom>
                </pic:spPr>
              </pic:pic>
            </a:graphicData>
          </a:graphic>
        </wp:anchor>
      </w:drawing>
    </w:r>
    <w:r>
      <w:rPr>
        <w:rFonts w:ascii="Arial" w:eastAsia="Arial" w:hAnsi="Arial" w:cs="Arial"/>
        <w:sz w:val="14"/>
      </w:rPr>
      <w:t>Este documento foi gerado pelo usuário 892.***.***-87 em 06/04/2026 14:40:14 Número do documento: 26040206360006100000229191770</w:t>
    </w:r>
  </w:p>
  <w:p w14:paraId="19E89D84" w14:textId="77777777" w:rsidR="00B330F0" w:rsidRDefault="004E751A">
    <w:pPr>
      <w:spacing w:after="0" w:line="298" w:lineRule="auto"/>
      <w:ind w:left="680" w:right="1801" w:firstLine="0"/>
      <w:jc w:val="left"/>
    </w:pPr>
    <w:r>
      <w:rPr>
        <w:rFonts w:ascii="Arial" w:eastAsia="Arial" w:hAnsi="Arial" w:cs="Arial"/>
        <w:sz w:val="14"/>
      </w:rPr>
      <w:t>https://pje.cloud.tjpe.jus.br:443/1g/Processo/ConsultaDocumento/listView.seam?x=26040206360006100000229191770 Assinado eletronicamente por: GLACIDELSON ANTONIO DA SILVA - 02/04/2026 06:36:00</w:t>
    </w:r>
  </w:p>
  <w:p w14:paraId="0BEF9331" w14:textId="77777777" w:rsidR="00B330F0" w:rsidRDefault="004E751A">
    <w:pPr>
      <w:spacing w:after="0" w:line="259" w:lineRule="auto"/>
      <w:ind w:left="0" w:right="-649" w:firstLine="0"/>
      <w:jc w:val="right"/>
    </w:pPr>
    <w:r>
      <w:rPr>
        <w:rFonts w:ascii="Arial" w:eastAsia="Arial" w:hAnsi="Arial" w:cs="Arial"/>
        <w:sz w:val="18"/>
      </w:rPr>
      <w:t xml:space="preserve">Num. 235638034 - Pág.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74D5" w14:textId="77777777" w:rsidR="004E751A" w:rsidRDefault="004E751A">
      <w:pPr>
        <w:spacing w:after="0" w:line="240" w:lineRule="auto"/>
      </w:pPr>
      <w:r>
        <w:separator/>
      </w:r>
    </w:p>
  </w:footnote>
  <w:footnote w:type="continuationSeparator" w:id="0">
    <w:p w14:paraId="70EB515F" w14:textId="77777777" w:rsidR="004E751A" w:rsidRDefault="004E7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D238D"/>
    <w:multiLevelType w:val="hybridMultilevel"/>
    <w:tmpl w:val="FFFFFFFF"/>
    <w:lvl w:ilvl="0" w:tplc="05BAF032">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C641A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26CF1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6AE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22C1D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AA72A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40426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5880B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DEAC8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D86F87"/>
    <w:multiLevelType w:val="hybridMultilevel"/>
    <w:tmpl w:val="FFFFFFFF"/>
    <w:lvl w:ilvl="0" w:tplc="B720E64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80A6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A6F1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FC1E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3E7C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6201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2AA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CA38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43C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CB692D"/>
    <w:multiLevelType w:val="hybridMultilevel"/>
    <w:tmpl w:val="FFFFFFFF"/>
    <w:lvl w:ilvl="0" w:tplc="5FE0B2B6">
      <w:start w:val="1"/>
      <w:numFmt w:val="upperRoman"/>
      <w:pStyle w:val="Ttulo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B0560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D6DC2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2C5F8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D2C65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B89A2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6E6E0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B45E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7491C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6829D3"/>
    <w:multiLevelType w:val="hybridMultilevel"/>
    <w:tmpl w:val="FFFFFFFF"/>
    <w:lvl w:ilvl="0" w:tplc="9288DF8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844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2A37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6E28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22E7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9C74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0F4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7260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E4CF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42348179">
    <w:abstractNumId w:val="1"/>
  </w:num>
  <w:num w:numId="2" w16cid:durableId="2094468511">
    <w:abstractNumId w:val="3"/>
  </w:num>
  <w:num w:numId="3" w16cid:durableId="1845168613">
    <w:abstractNumId w:val="0"/>
  </w:num>
  <w:num w:numId="4" w16cid:durableId="270478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0F0"/>
    <w:rsid w:val="004E751A"/>
    <w:rsid w:val="00B330F0"/>
    <w:rsid w:val="00D119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7580C764"/>
  <w15:docId w15:val="{C0403911-D547-9C4E-A3EE-707408C9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9" w:line="249" w:lineRule="auto"/>
      <w:ind w:left="10" w:right="1"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numPr>
        <w:numId w:val="4"/>
      </w:numPr>
      <w:spacing w:after="230" w:line="249" w:lineRule="auto"/>
      <w:ind w:left="10" w:right="1" w:hanging="10"/>
      <w:jc w:val="both"/>
      <w:outlineLvl w:val="0"/>
    </w:pPr>
    <w:rPr>
      <w:rFonts w:ascii="Times New Roman" w:eastAsia="Times New Roman" w:hAnsi="Times New Roman" w:cs="Times New Roman"/>
      <w:b/>
      <w:color w:val="000000"/>
    </w:rPr>
  </w:style>
  <w:style w:type="paragraph" w:styleId="Ttulo2">
    <w:name w:val="heading 2"/>
    <w:next w:val="Normal"/>
    <w:link w:val="Ttulo2Char"/>
    <w:uiPriority w:val="9"/>
    <w:unhideWhenUsed/>
    <w:qFormat/>
    <w:pPr>
      <w:keepNext/>
      <w:keepLines/>
      <w:spacing w:after="218" w:line="259" w:lineRule="auto"/>
      <w:ind w:left="10" w:hanging="10"/>
      <w:outlineLvl w:val="1"/>
    </w:pPr>
    <w:rPr>
      <w:rFonts w:ascii="Times New Roman" w:eastAsia="Times New Roman" w:hAnsi="Times New Roman" w:cs="Times New Roman"/>
      <w:b/>
      <w:i/>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character" w:customStyle="1" w:styleId="Ttulo2Char">
    <w:name w:val="Título 2 Char"/>
    <w:link w:val="Ttulo2"/>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png" /><Relationship Id="rId13"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2.png"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footer" Target="footer6.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footer" Target="footer5.xml" /></Relationships>
</file>

<file path=word/_rels/footer4.xml.rels><?xml version="1.0" encoding="UTF-8" standalone="yes"?>
<Relationships xmlns="http://schemas.openxmlformats.org/package/2006/relationships"><Relationship Id="rId1" Type="http://schemas.openxmlformats.org/officeDocument/2006/relationships/image" Target="media/image3.png" /></Relationships>
</file>

<file path=word/_rels/footer5.xml.rels><?xml version="1.0" encoding="UTF-8" standalone="yes"?>
<Relationships xmlns="http://schemas.openxmlformats.org/package/2006/relationships"><Relationship Id="rId1" Type="http://schemas.openxmlformats.org/officeDocument/2006/relationships/image" Target="media/image3.png" /></Relationships>
</file>

<file path=word/_rels/footer6.xml.rels><?xml version="1.0" encoding="UTF-8" standalone="yes"?>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2696</Words>
  <Characters>14560</Characters>
  <Application>Microsoft Office Word</Application>
  <DocSecurity>0</DocSecurity>
  <Lines>121</Lines>
  <Paragraphs>34</Paragraphs>
  <ScaleCrop>false</ScaleCrop>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0004479-51.2025.8.17.2640 - PROCEDIMENTO COMUM CÍVEL</dc:title>
  <dc:subject>AUTOR(A): ESCRITORIO CENTRAL DE ARRECADACAO E DISTRIBUICAO ECAD; RÉU: MUNICIPIO DE GARANHUNS; ADVOGADO(A): RICARDO JOSE UCHOA CAVALCANTI FILHO</dc:subject>
  <dc:creator>PJe - Documento gerado automaticamente</dc:creator>
  <cp:keywords>DIREITO CIVIL (899) | Coisas (10432) | Propriedade (10448) | Propriedade Intelectual / Industrial (4654) | Direito Autoral (4656)
</cp:keywords>
  <cp:lastModifiedBy>Jonathas William Oliveira</cp:lastModifiedBy>
  <cp:revision>2</cp:revision>
  <dcterms:created xsi:type="dcterms:W3CDTF">2026-04-22T19:03:00Z</dcterms:created>
  <dcterms:modified xsi:type="dcterms:W3CDTF">2026-04-22T19:03:00Z</dcterms:modified>
</cp:coreProperties>
</file>